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A327" w14:textId="77777777" w:rsidR="00CD1DBD" w:rsidRDefault="00CD1DB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bCs/>
          <w:color w:val="auto"/>
          <w:sz w:val="24"/>
          <w:szCs w:val="24"/>
        </w:rPr>
        <w:t>sowego projektu informatycznego</w:t>
      </w:r>
    </w:p>
    <w:p w14:paraId="13EDD6A7" w14:textId="3A1CBF3E" w:rsidR="00CD1DBD" w:rsidRPr="002B50C0" w:rsidRDefault="00CD1DBD" w:rsidP="00ED7995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00DC7637">
        <w:rPr>
          <w:rFonts w:ascii="Arial" w:hAnsi="Arial" w:cs="Arial"/>
          <w:b/>
          <w:bCs/>
          <w:color w:val="auto"/>
          <w:sz w:val="24"/>
          <w:szCs w:val="24"/>
        </w:rPr>
        <w:t>I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kwartał 20</w:t>
      </w:r>
      <w:r w:rsidR="006764AB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555782">
        <w:rPr>
          <w:rFonts w:ascii="Arial" w:hAnsi="Arial" w:cs="Arial"/>
          <w:b/>
          <w:bCs/>
          <w:color w:val="auto"/>
          <w:sz w:val="24"/>
          <w:szCs w:val="24"/>
        </w:rPr>
        <w:t>2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26508316" w14:textId="77777777" w:rsidR="00CD1DBD" w:rsidRPr="002B50C0" w:rsidRDefault="00CD1DBD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1DBD" w:rsidRPr="000C4E85" w14:paraId="17A13A0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9C1A23A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47996F7" w14:textId="77777777" w:rsidR="00CD1DBD" w:rsidRPr="000C4E85" w:rsidRDefault="00CD1DBD" w:rsidP="00CB58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SYSTEM WSPARCIA INFORMATYCZNEGO USŁUG TERENOWEJ ADMINISTRACJI MIAR</w:t>
            </w:r>
          </w:p>
        </w:tc>
      </w:tr>
      <w:tr w:rsidR="00CD1DBD" w:rsidRPr="000C4E85" w14:paraId="67A7BA9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F3AFBA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D4ED7E" w14:textId="5B85F3F3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MINISTER</w:t>
            </w:r>
            <w:r w:rsidR="00BA315A">
              <w:rPr>
                <w:rFonts w:ascii="Arial" w:hAnsi="Arial" w:cs="Arial"/>
                <w:sz w:val="20"/>
                <w:szCs w:val="20"/>
              </w:rPr>
              <w:t>STWO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0E1">
              <w:rPr>
                <w:rFonts w:ascii="Arial" w:hAnsi="Arial" w:cs="Arial"/>
                <w:sz w:val="20"/>
                <w:szCs w:val="20"/>
              </w:rPr>
              <w:t>ROZWOJU</w:t>
            </w:r>
            <w:r w:rsidR="00775514">
              <w:rPr>
                <w:rFonts w:ascii="Arial" w:hAnsi="Arial" w:cs="Arial"/>
                <w:sz w:val="20"/>
                <w:szCs w:val="20"/>
              </w:rPr>
              <w:t>, PRACY I TECHNOLOGII</w:t>
            </w:r>
          </w:p>
        </w:tc>
      </w:tr>
      <w:tr w:rsidR="00CD1DBD" w:rsidRPr="000C4E85" w14:paraId="1B85544F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8AEE996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943DD15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GŁÓWNY URZĄD MIAR</w:t>
            </w:r>
          </w:p>
        </w:tc>
      </w:tr>
      <w:tr w:rsidR="00CD1DBD" w:rsidRPr="000C4E85" w14:paraId="6466E5FB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650020D5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F865D1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D1DBD" w:rsidRPr="000C4E85" w14:paraId="63DF345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A91ACF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1A57751" w14:textId="3EC8B0F9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źródło finansowania projektu: budżet państwa – </w:t>
            </w:r>
            <w:r>
              <w:rPr>
                <w:rFonts w:ascii="Arial" w:hAnsi="Arial" w:cs="Arial"/>
                <w:sz w:val="20"/>
                <w:szCs w:val="20"/>
              </w:rPr>
              <w:t>część budżetowa nr 64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środki UE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85">
              <w:rPr>
                <w:rFonts w:ascii="Arial" w:hAnsi="Arial" w:cs="Arial"/>
                <w:sz w:val="20"/>
                <w:szCs w:val="20"/>
              </w:rPr>
              <w:t>Program Operacyjn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Polska Cyfrowa na lata 2014-2020, </w:t>
            </w:r>
            <w:r>
              <w:rPr>
                <w:rFonts w:ascii="Arial" w:hAnsi="Arial" w:cs="Arial"/>
                <w:sz w:val="20"/>
                <w:szCs w:val="20"/>
              </w:rPr>
              <w:t>II 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ś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riorytetowa </w:t>
            </w:r>
            <w:r>
              <w:rPr>
                <w:rFonts w:ascii="Arial" w:hAnsi="Arial" w:cs="Arial"/>
                <w:sz w:val="20"/>
                <w:szCs w:val="20"/>
              </w:rPr>
              <w:t>POPC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0C4E85">
              <w:rPr>
                <w:rFonts w:ascii="Arial" w:hAnsi="Arial" w:cs="Arial"/>
                <w:sz w:val="20"/>
                <w:szCs w:val="20"/>
              </w:rPr>
              <w:t>E-administracja i otwarty rząd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4E85">
              <w:rPr>
                <w:rFonts w:ascii="Arial" w:hAnsi="Arial" w:cs="Arial"/>
                <w:sz w:val="20"/>
                <w:szCs w:val="20"/>
              </w:rPr>
              <w:t>ziałanie 2.1 „Wysoka dostępność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0C4E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2B08DB0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4E8E11B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75106BF2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20A2A63" w14:textId="30FC02DD" w:rsidR="00CD1DBD" w:rsidRPr="002532E0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532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4C2">
              <w:rPr>
                <w:rFonts w:ascii="Arial" w:hAnsi="Arial" w:cs="Arial"/>
                <w:sz w:val="20"/>
                <w:szCs w:val="20"/>
              </w:rPr>
              <w:t xml:space="preserve">17 576 321,97 zł </w:t>
            </w:r>
            <w:r w:rsidRPr="002532E0">
              <w:rPr>
                <w:rFonts w:ascii="Arial" w:hAnsi="Arial" w:cs="Arial"/>
                <w:sz w:val="20"/>
                <w:szCs w:val="20"/>
              </w:rPr>
              <w:t>(wartość początkowa projektu 14 304 041,85 zł)</w:t>
            </w:r>
          </w:p>
        </w:tc>
      </w:tr>
      <w:tr w:rsidR="00CD1DBD" w:rsidRPr="000C4E85" w14:paraId="6DABD9B3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C764D4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3573BEDB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6DA6FC" w14:textId="4B47F4B2" w:rsidR="00CD1DBD" w:rsidRPr="000C4E85" w:rsidRDefault="008654C2" w:rsidP="00DA6A6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</w:t>
            </w:r>
            <w:r w:rsidR="003C3EE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729</w:t>
            </w:r>
            <w:r w:rsidR="003C3EE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334,66 zł</w:t>
            </w:r>
          </w:p>
        </w:tc>
      </w:tr>
      <w:tr w:rsidR="00CD1DBD" w:rsidRPr="000C4E85" w14:paraId="7D44F008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4CBA528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realizacji </w:t>
            </w:r>
          </w:p>
          <w:p w14:paraId="438BD68F" w14:textId="072451AB" w:rsidR="00CD1DBD" w:rsidRPr="000C4E85" w:rsidRDefault="00DB7734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CD1DBD"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6B2FC7F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rozpoczęcia realizacji projektu: 01.08.2018 r.</w:t>
            </w:r>
          </w:p>
          <w:p w14:paraId="1C53FAD0" w14:textId="464D969D" w:rsidR="00CD1DBD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zakończenia realizacji projektu</w:t>
            </w:r>
            <w:r w:rsidR="00B37E08" w:rsidRPr="00B37E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B37E08">
              <w:rPr>
                <w:rFonts w:ascii="Arial" w:hAnsi="Arial" w:cs="Arial"/>
                <w:sz w:val="20"/>
                <w:szCs w:val="20"/>
              </w:rPr>
              <w:t>: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9B0">
              <w:rPr>
                <w:rFonts w:ascii="Arial" w:hAnsi="Arial" w:cs="Arial"/>
                <w:sz w:val="20"/>
                <w:szCs w:val="20"/>
              </w:rPr>
              <w:t>31.</w:t>
            </w:r>
            <w:r w:rsidR="00A7303C">
              <w:rPr>
                <w:rFonts w:ascii="Arial" w:hAnsi="Arial" w:cs="Arial"/>
                <w:sz w:val="20"/>
                <w:szCs w:val="20"/>
              </w:rPr>
              <w:t>0</w:t>
            </w:r>
            <w:r w:rsidR="006169B0">
              <w:rPr>
                <w:rFonts w:ascii="Arial" w:hAnsi="Arial" w:cs="Arial"/>
                <w:sz w:val="20"/>
                <w:szCs w:val="20"/>
              </w:rPr>
              <w:t>3</w:t>
            </w:r>
            <w:r w:rsidRPr="00FD4466">
              <w:rPr>
                <w:rFonts w:ascii="Arial" w:hAnsi="Arial" w:cs="Arial"/>
                <w:sz w:val="20"/>
                <w:szCs w:val="20"/>
              </w:rPr>
              <w:t>.202</w:t>
            </w:r>
            <w:r w:rsidR="00A7303C">
              <w:rPr>
                <w:rFonts w:ascii="Arial" w:hAnsi="Arial" w:cs="Arial"/>
                <w:sz w:val="20"/>
                <w:szCs w:val="20"/>
              </w:rPr>
              <w:t>2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7B8D7816" w14:textId="2B5E6F9E" w:rsidR="00DB7734" w:rsidRPr="000C4E85" w:rsidRDefault="00AB5FE5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</w:t>
            </w:r>
            <w:r w:rsidR="00DB7734">
              <w:rPr>
                <w:rFonts w:ascii="Arial" w:hAnsi="Arial" w:cs="Arial"/>
                <w:sz w:val="20"/>
                <w:szCs w:val="20"/>
              </w:rPr>
              <w:t xml:space="preserve"> pierwotna data zakończenia (sprzed zmiany): 31.07.2021 r.</w:t>
            </w:r>
          </w:p>
        </w:tc>
      </w:tr>
    </w:tbl>
    <w:p w14:paraId="06A2CA5F" w14:textId="687E11E8" w:rsidR="0016679C" w:rsidRPr="007C793C" w:rsidRDefault="0016679C" w:rsidP="0016679C">
      <w:pPr>
        <w:pStyle w:val="Nagwek2"/>
        <w:spacing w:before="60"/>
        <w:ind w:right="284"/>
        <w:rPr>
          <w:rFonts w:ascii="Arial" w:hAnsi="Arial" w:cs="Arial"/>
          <w:i/>
          <w:iCs/>
          <w:color w:val="auto"/>
          <w:sz w:val="20"/>
          <w:szCs w:val="20"/>
        </w:rPr>
      </w:pPr>
      <w:r w:rsidRPr="007C793C">
        <w:rPr>
          <w:rFonts w:ascii="Arial" w:hAnsi="Arial" w:cs="Arial"/>
          <w:i/>
          <w:iCs/>
          <w:color w:val="auto"/>
          <w:sz w:val="20"/>
          <w:szCs w:val="20"/>
        </w:rPr>
        <w:t xml:space="preserve">Całkowity koszt projektu uległ zmianie w wyniku zmian wprowadzonych Aneksem nr </w:t>
      </w:r>
      <w:r w:rsidR="00FD6677" w:rsidRPr="007C793C">
        <w:rPr>
          <w:rFonts w:ascii="Arial" w:hAnsi="Arial" w:cs="Arial"/>
          <w:i/>
          <w:iCs/>
          <w:color w:val="auto"/>
          <w:sz w:val="20"/>
          <w:szCs w:val="20"/>
        </w:rPr>
        <w:t xml:space="preserve">6 </w:t>
      </w:r>
      <w:r w:rsidRPr="007C793C">
        <w:rPr>
          <w:rFonts w:ascii="Arial" w:hAnsi="Arial" w:cs="Arial"/>
          <w:i/>
          <w:iCs/>
          <w:color w:val="auto"/>
          <w:sz w:val="20"/>
          <w:szCs w:val="20"/>
        </w:rPr>
        <w:t>do</w:t>
      </w:r>
      <w:r w:rsidR="0040242E" w:rsidRPr="007C793C">
        <w:rPr>
          <w:rFonts w:ascii="Arial" w:hAnsi="Arial" w:cs="Arial"/>
          <w:i/>
          <w:iCs/>
          <w:color w:val="auto"/>
          <w:sz w:val="20"/>
          <w:szCs w:val="20"/>
        </w:rPr>
        <w:t> </w:t>
      </w:r>
      <w:r w:rsidRPr="007C793C">
        <w:rPr>
          <w:rFonts w:ascii="Arial" w:hAnsi="Arial" w:cs="Arial"/>
          <w:i/>
          <w:iCs/>
          <w:color w:val="auto"/>
          <w:sz w:val="20"/>
          <w:szCs w:val="20"/>
        </w:rPr>
        <w:t xml:space="preserve">porozumienia z CPPC nr POPC.02.01.00-00-0080/17, zawartym dnia </w:t>
      </w:r>
      <w:r w:rsidR="00FD6677" w:rsidRPr="007C793C">
        <w:rPr>
          <w:rFonts w:ascii="Arial" w:hAnsi="Arial" w:cs="Arial"/>
          <w:i/>
          <w:iCs/>
          <w:color w:val="auto"/>
          <w:sz w:val="20"/>
          <w:szCs w:val="20"/>
        </w:rPr>
        <w:t>29</w:t>
      </w:r>
      <w:r w:rsidRPr="007C793C">
        <w:rPr>
          <w:rFonts w:ascii="Arial" w:hAnsi="Arial" w:cs="Arial"/>
          <w:i/>
          <w:iCs/>
          <w:color w:val="auto"/>
          <w:sz w:val="20"/>
          <w:szCs w:val="20"/>
        </w:rPr>
        <w:t>.</w:t>
      </w:r>
      <w:r w:rsidR="00FD6677" w:rsidRPr="007C793C">
        <w:rPr>
          <w:rFonts w:ascii="Arial" w:hAnsi="Arial" w:cs="Arial"/>
          <w:i/>
          <w:iCs/>
          <w:color w:val="auto"/>
          <w:sz w:val="20"/>
          <w:szCs w:val="20"/>
        </w:rPr>
        <w:t>10</w:t>
      </w:r>
      <w:r w:rsidRPr="007C793C">
        <w:rPr>
          <w:rFonts w:ascii="Arial" w:hAnsi="Arial" w:cs="Arial"/>
          <w:i/>
          <w:iCs/>
          <w:color w:val="auto"/>
          <w:sz w:val="20"/>
          <w:szCs w:val="20"/>
        </w:rPr>
        <w:t>.2021 r.”</w:t>
      </w:r>
    </w:p>
    <w:p w14:paraId="58B94F7A" w14:textId="0BD5080E" w:rsidR="00CD1DBD" w:rsidRPr="00141A92" w:rsidRDefault="00CD1DB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582ADCCD" w14:textId="77777777" w:rsidR="00CD1DBD" w:rsidRPr="002F0A74" w:rsidRDefault="00CD1DBD" w:rsidP="0062054D">
      <w:pPr>
        <w:pStyle w:val="Nagwek3"/>
        <w:spacing w:after="360"/>
        <w:ind w:left="284" w:hanging="284"/>
        <w:rPr>
          <w:rFonts w:ascii="Arial" w:hAnsi="Arial" w:cs="Arial"/>
          <w:color w:val="767171"/>
          <w:sz w:val="22"/>
          <w:szCs w:val="22"/>
        </w:rPr>
      </w:pPr>
      <w:r w:rsidRPr="002F0A74">
        <w:rPr>
          <w:rFonts w:ascii="Arial" w:hAnsi="Arial" w:cs="Arial"/>
          <w:color w:val="auto"/>
          <w:sz w:val="22"/>
          <w:szCs w:val="22"/>
        </w:rPr>
        <w:t xml:space="preserve"> </w:t>
      </w:r>
      <w:r w:rsidRPr="002F0A74">
        <w:rPr>
          <w:rFonts w:ascii="Arial" w:hAnsi="Arial" w:cs="Arial"/>
          <w:color w:val="auto"/>
          <w:sz w:val="22"/>
          <w:szCs w:val="22"/>
        </w:rPr>
        <w:tab/>
        <w:t>Realizacja projektu nie pociąga za sobą skutków w postaci zmian przepisów prawa.</w:t>
      </w:r>
    </w:p>
    <w:p w14:paraId="7F658A5F" w14:textId="77777777" w:rsidR="00CD1DBD" w:rsidRPr="00141A92" w:rsidRDefault="00CD1DBD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CD1DBD" w:rsidRPr="000C4E85" w14:paraId="03735A42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57A5FE9" w14:textId="77777777" w:rsidR="00CD1DBD" w:rsidRPr="000C4E85" w:rsidRDefault="00CD1DBD" w:rsidP="000C4E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2BE622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CC883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CD1DBD" w:rsidRPr="000C4E85" w14:paraId="2CC2A6B8" w14:textId="77777777">
        <w:tc>
          <w:tcPr>
            <w:tcW w:w="2972" w:type="dxa"/>
            <w:vAlign w:val="center"/>
          </w:tcPr>
          <w:p w14:paraId="7B5A52F7" w14:textId="739FC19D" w:rsidR="00CD1DBD" w:rsidRPr="00555782" w:rsidRDefault="00444678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4678">
              <w:rPr>
                <w:rFonts w:ascii="Arial" w:hAnsi="Arial" w:cs="Arial"/>
                <w:sz w:val="20"/>
                <w:szCs w:val="20"/>
              </w:rPr>
              <w:t>100</w:t>
            </w:r>
            <w:r w:rsidR="00CD1DBD" w:rsidRPr="0044467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532DC863" w14:textId="4F400A1B" w:rsidR="00CD1DBD" w:rsidRPr="00907D02" w:rsidRDefault="00030B42" w:rsidP="00A60683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97,82</w:t>
            </w:r>
            <w:r w:rsidR="00CD1DBD" w:rsidRPr="00907D02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1E6D6525" w14:textId="2D68D683" w:rsidR="00CD1DBD" w:rsidRPr="00907D02" w:rsidRDefault="00E211BA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D02">
              <w:rPr>
                <w:rFonts w:ascii="Arial" w:hAnsi="Arial" w:cs="Arial"/>
                <w:sz w:val="20"/>
                <w:szCs w:val="20"/>
              </w:rPr>
              <w:t>58,91</w:t>
            </w:r>
            <w:r w:rsidR="00CD1DBD" w:rsidRPr="00907D02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CDF47C" w14:textId="44A432C9" w:rsidR="00CD1DBD" w:rsidRPr="00907D02" w:rsidRDefault="00E211BA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7D02">
              <w:rPr>
                <w:rFonts w:ascii="Arial" w:hAnsi="Arial" w:cs="Arial"/>
                <w:sz w:val="20"/>
                <w:szCs w:val="20"/>
              </w:rPr>
              <w:t xml:space="preserve">58,91 </w:t>
            </w:r>
            <w:r w:rsidR="00CD1DBD" w:rsidRPr="00907D02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9293428" w14:textId="11AF351D" w:rsidR="00CD1DBD" w:rsidRPr="003663C5" w:rsidRDefault="00030B42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935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487FDB" w:rsidRPr="00A51935">
              <w:rPr>
                <w:rFonts w:ascii="Arial" w:hAnsi="Arial" w:cs="Arial"/>
                <w:sz w:val="20"/>
                <w:szCs w:val="20"/>
              </w:rPr>
              <w:t>,</w:t>
            </w:r>
            <w:r w:rsidR="006C6454">
              <w:rPr>
                <w:rFonts w:ascii="Arial" w:hAnsi="Arial" w:cs="Arial"/>
                <w:sz w:val="20"/>
                <w:szCs w:val="20"/>
              </w:rPr>
              <w:t>8</w:t>
            </w:r>
            <w:r w:rsidR="008654C2" w:rsidRPr="00A51935">
              <w:rPr>
                <w:rFonts w:ascii="Arial" w:hAnsi="Arial" w:cs="Arial"/>
                <w:sz w:val="20"/>
                <w:szCs w:val="20"/>
              </w:rPr>
              <w:t>2</w:t>
            </w:r>
            <w:r w:rsidR="00CD1DBD" w:rsidRPr="00A519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55A0FB4" w14:textId="327B743D" w:rsidR="009610FA" w:rsidRDefault="009610FA" w:rsidP="009610FA"/>
    <w:p w14:paraId="4527217A" w14:textId="093C0C95" w:rsidR="009610FA" w:rsidRDefault="009610FA" w:rsidP="009610FA"/>
    <w:p w14:paraId="5FBB59A3" w14:textId="316AB42F" w:rsidR="009610FA" w:rsidRDefault="009610FA" w:rsidP="009610FA"/>
    <w:p w14:paraId="658F2D1D" w14:textId="40C29AA9" w:rsidR="009610FA" w:rsidRDefault="009610FA" w:rsidP="009610FA"/>
    <w:p w14:paraId="04B4192B" w14:textId="77777777" w:rsidR="009610FA" w:rsidRPr="009610FA" w:rsidRDefault="009610FA" w:rsidP="009610FA"/>
    <w:p w14:paraId="28300C10" w14:textId="77777777" w:rsidR="00CD1DBD" w:rsidRDefault="00CD1DB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DC39A9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64B96DB" w14:textId="77777777" w:rsidR="00CD1DBD" w:rsidRPr="00141A92" w:rsidRDefault="00CD1DBD" w:rsidP="00141A92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792"/>
      </w:tblGrid>
      <w:tr w:rsidR="00CD1DBD" w:rsidRPr="000C4E85" w14:paraId="343FE1AC" w14:textId="77777777" w:rsidTr="00792895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14:paraId="2CE72F9E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  <w:vAlign w:val="center"/>
          </w:tcPr>
          <w:p w14:paraId="3C1A94F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Powiązane wskaźniki projektu </w:t>
            </w:r>
            <w:r w:rsidRPr="000C4E8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/>
            <w:vAlign w:val="center"/>
          </w:tcPr>
          <w:p w14:paraId="62D2B0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14:paraId="47D8BB6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14:paraId="609AF89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CD1DBD" w:rsidRPr="000C4E85" w14:paraId="3B221E6D" w14:textId="77777777" w:rsidTr="00792895">
        <w:tc>
          <w:tcPr>
            <w:tcW w:w="2125" w:type="dxa"/>
            <w:vAlign w:val="center"/>
          </w:tcPr>
          <w:p w14:paraId="11C14008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koncepcji i SIWZ systemu „ŚWITEŹ”</w:t>
            </w:r>
          </w:p>
        </w:tc>
        <w:tc>
          <w:tcPr>
            <w:tcW w:w="1505" w:type="dxa"/>
            <w:vAlign w:val="center"/>
          </w:tcPr>
          <w:p w14:paraId="3DC21D6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5AEE5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  <w:vAlign w:val="center"/>
          </w:tcPr>
          <w:p w14:paraId="05B766F2" w14:textId="77777777" w:rsidR="00CD1DBD" w:rsidRPr="006F006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6F00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2" w:type="dxa"/>
            <w:vAlign w:val="center"/>
          </w:tcPr>
          <w:p w14:paraId="67F4F32E" w14:textId="77777777" w:rsidR="00CD1DBD" w:rsidRPr="006F0066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6C9E3EFA" w14:textId="77777777" w:rsidTr="00792895">
        <w:tc>
          <w:tcPr>
            <w:tcW w:w="2125" w:type="dxa"/>
            <w:vAlign w:val="center"/>
          </w:tcPr>
          <w:p w14:paraId="26F618F6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Podpisanie umowy z Wykonawcą systemu "ŚWITEŹ"</w:t>
            </w:r>
          </w:p>
        </w:tc>
        <w:tc>
          <w:tcPr>
            <w:tcW w:w="1505" w:type="dxa"/>
            <w:vAlign w:val="center"/>
          </w:tcPr>
          <w:p w14:paraId="4A28554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085C82AD" w14:textId="77777777" w:rsidR="00CD1DBD" w:rsidRPr="00F00E4A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vAlign w:val="center"/>
          </w:tcPr>
          <w:p w14:paraId="600DE051" w14:textId="77777777" w:rsidR="00CD1DBD" w:rsidRPr="00F00E4A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2792" w:type="dxa"/>
            <w:vAlign w:val="center"/>
          </w:tcPr>
          <w:p w14:paraId="67456771" w14:textId="7583CEF5" w:rsidR="00CD1DBD" w:rsidRPr="00F00E4A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5D06DB4B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05D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dokumentacji projektowej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6DB" w14:textId="77777777" w:rsidR="00CD1DBD" w:rsidRPr="000C4E85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CD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E3A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934D" w14:textId="16089300" w:rsidR="00CD1DBD" w:rsidRPr="00B033F7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28717F92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2DB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planu wdrożenia i testów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3A02" w14:textId="77777777" w:rsidR="00CD1DBD" w:rsidRPr="000C4E85" w:rsidRDefault="00CD1DBD" w:rsidP="008D70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850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7A2" w14:textId="77777777" w:rsidR="00CD1DBD" w:rsidRPr="000C4E85" w:rsidRDefault="00CD1DBD" w:rsidP="008567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A71" w14:textId="592D6A4B" w:rsidR="00CD1DBD" w:rsidRPr="0061724A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3092E325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DACF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prototypu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7B6" w14:textId="77777777" w:rsidR="00CD1DBD" w:rsidRPr="000C4E85" w:rsidRDefault="00CD1DBD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EA05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0AF" w14:textId="55145765" w:rsidR="00CD1DBD" w:rsidRPr="000C4E85" w:rsidRDefault="003A2CFE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7C43" w14:textId="159368C4" w:rsidR="00B25211" w:rsidRPr="0061724A" w:rsidRDefault="003A2CFE" w:rsidP="00214C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152021BC" w14:textId="77777777" w:rsidTr="00792895">
        <w:tc>
          <w:tcPr>
            <w:tcW w:w="2125" w:type="dxa"/>
            <w:vAlign w:val="center"/>
          </w:tcPr>
          <w:p w14:paraId="0E20BCE4" w14:textId="77777777" w:rsidR="00CD1DBD" w:rsidRPr="00C1079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Przeprowadzenie testów akceptacyjnych oprogramowania systemu "ŚWITEŹ"</w:t>
            </w:r>
          </w:p>
        </w:tc>
        <w:tc>
          <w:tcPr>
            <w:tcW w:w="1505" w:type="dxa"/>
            <w:vAlign w:val="center"/>
          </w:tcPr>
          <w:p w14:paraId="18FB1E05" w14:textId="77777777" w:rsidR="00CD1DBD" w:rsidRPr="00C1079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4BB5937" w14:textId="136608AC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1" w:type="dxa"/>
            <w:vAlign w:val="center"/>
          </w:tcPr>
          <w:p w14:paraId="525A840C" w14:textId="255D7D87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792" w:type="dxa"/>
            <w:vAlign w:val="center"/>
          </w:tcPr>
          <w:p w14:paraId="2A147AFA" w14:textId="631AB02C" w:rsidR="00792895" w:rsidRPr="00F10351" w:rsidRDefault="00C92A0D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75889DF1" w14:textId="44CBA825" w:rsidR="00CD1DBD" w:rsidRPr="00F10351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D1DBD" w:rsidRPr="000C4E85" w14:paraId="0193A083" w14:textId="77777777" w:rsidTr="00792895">
        <w:tc>
          <w:tcPr>
            <w:tcW w:w="2125" w:type="dxa"/>
            <w:vAlign w:val="center"/>
          </w:tcPr>
          <w:p w14:paraId="0CBAF474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Raport z testów bezpieczeństwa systemu "ŚWITEŹ"</w:t>
            </w:r>
          </w:p>
        </w:tc>
        <w:tc>
          <w:tcPr>
            <w:tcW w:w="1505" w:type="dxa"/>
            <w:vAlign w:val="center"/>
          </w:tcPr>
          <w:p w14:paraId="7B40C0B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E2EC7C8" w14:textId="532BBC5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31359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1" w:type="dxa"/>
            <w:vAlign w:val="center"/>
          </w:tcPr>
          <w:p w14:paraId="63B33B9D" w14:textId="0EA5756B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792" w:type="dxa"/>
            <w:vAlign w:val="center"/>
          </w:tcPr>
          <w:p w14:paraId="4759994E" w14:textId="77777777" w:rsidR="00C92A0D" w:rsidRPr="00F10351" w:rsidRDefault="00C92A0D" w:rsidP="00C92A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6E02EEE4" w14:textId="54C5E7C7" w:rsidR="006D2460" w:rsidRPr="000C4E85" w:rsidRDefault="006D2460" w:rsidP="006D24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D1DBD" w:rsidRPr="000C4E85" w14:paraId="63104D04" w14:textId="77777777" w:rsidTr="00792895">
        <w:tc>
          <w:tcPr>
            <w:tcW w:w="2125" w:type="dxa"/>
            <w:vAlign w:val="center"/>
          </w:tcPr>
          <w:p w14:paraId="1781627C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oprogramowania systemu "ŚWITEŹ"</w:t>
            </w:r>
          </w:p>
        </w:tc>
        <w:tc>
          <w:tcPr>
            <w:tcW w:w="1505" w:type="dxa"/>
            <w:vAlign w:val="center"/>
          </w:tcPr>
          <w:p w14:paraId="59ABF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365F7AD7" w14:textId="089174E6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07F856D6" w14:textId="7C964762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792" w:type="dxa"/>
            <w:vAlign w:val="center"/>
          </w:tcPr>
          <w:p w14:paraId="5D280337" w14:textId="5DB3A7F7" w:rsidR="00CD1DBD" w:rsidRPr="00C92A0D" w:rsidRDefault="00C92A0D" w:rsidP="00C92A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18222C74" w14:textId="77777777" w:rsidTr="00792895">
        <w:tc>
          <w:tcPr>
            <w:tcW w:w="2125" w:type="dxa"/>
            <w:vAlign w:val="center"/>
          </w:tcPr>
          <w:p w14:paraId="03676BD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końcowy wdrożenia systemu "ŚWITEŹ"</w:t>
            </w:r>
          </w:p>
        </w:tc>
        <w:tc>
          <w:tcPr>
            <w:tcW w:w="1505" w:type="dxa"/>
            <w:vAlign w:val="center"/>
          </w:tcPr>
          <w:p w14:paraId="31A10BB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1 </w:t>
            </w:r>
          </w:p>
          <w:p w14:paraId="0A4A776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5 szt.;</w:t>
            </w:r>
          </w:p>
          <w:p w14:paraId="65D40FD9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70D8B8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2 </w:t>
            </w:r>
          </w:p>
          <w:p w14:paraId="6B36B8F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 szt.;</w:t>
            </w:r>
          </w:p>
          <w:p w14:paraId="2D640AA5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F92717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3 </w:t>
            </w:r>
          </w:p>
          <w:p w14:paraId="7E5DA4A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 szt.;</w:t>
            </w:r>
          </w:p>
          <w:p w14:paraId="69835C7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7FE09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4 </w:t>
            </w:r>
          </w:p>
          <w:p w14:paraId="17D77E50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425 osób;</w:t>
            </w:r>
          </w:p>
          <w:p w14:paraId="41156FF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74692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5 </w:t>
            </w:r>
          </w:p>
          <w:p w14:paraId="02F41AD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180 osób;</w:t>
            </w:r>
          </w:p>
          <w:p w14:paraId="69B6CA86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8472C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Nr porządkowy 6 </w:t>
            </w:r>
          </w:p>
          <w:p w14:paraId="08338BE5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245 osób;</w:t>
            </w:r>
          </w:p>
          <w:p w14:paraId="07D1E2AA" w14:textId="1B56F183" w:rsidR="00CD1DBD" w:rsidRDefault="00CD1DBD" w:rsidP="00030B4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F1381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8 </w:t>
            </w:r>
          </w:p>
          <w:p w14:paraId="5601F497" w14:textId="77777777" w:rsidR="00CD1DBD" w:rsidRPr="000C4E85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 szt.</w:t>
            </w:r>
          </w:p>
        </w:tc>
        <w:tc>
          <w:tcPr>
            <w:tcW w:w="1306" w:type="dxa"/>
            <w:vAlign w:val="center"/>
          </w:tcPr>
          <w:p w14:paraId="24113912" w14:textId="5F6B02C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43C736D0" w14:textId="211AB307" w:rsidR="00CD1DBD" w:rsidRPr="007B3846" w:rsidRDefault="00187FD2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792" w:type="dxa"/>
            <w:vAlign w:val="center"/>
          </w:tcPr>
          <w:p w14:paraId="4C8EAA25" w14:textId="69938220" w:rsidR="007B3846" w:rsidRPr="000C4E85" w:rsidRDefault="00187FD2" w:rsidP="00C92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</w:tbl>
    <w:p w14:paraId="6F5816DC" w14:textId="10F43084" w:rsidR="00CD1DBD" w:rsidRPr="00141A92" w:rsidRDefault="00CD1DBD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4F5EAC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CD1DBD" w:rsidRPr="000C4E85" w14:paraId="550422DA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171DE2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86424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4E2EE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0F2333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6A438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2985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8773C" w:rsidRPr="000C4E85" w14:paraId="7133D283" w14:textId="77777777">
        <w:tc>
          <w:tcPr>
            <w:tcW w:w="2545" w:type="dxa"/>
            <w:vAlign w:val="center"/>
          </w:tcPr>
          <w:p w14:paraId="1AB9D6F2" w14:textId="77777777" w:rsidR="00E8773C" w:rsidRPr="0047647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 w:rsidRPr="00476475">
              <w:rPr>
                <w:color w:val="000000"/>
                <w:sz w:val="20"/>
                <w:szCs w:val="20"/>
                <w:lang w:val="pl-PL" w:eastAsia="pl-PL"/>
              </w:rPr>
              <w:t>1. Liczba usług publicznych udostępnionych on-line o stopniu dojrzałości 3 - dwustronna interakcja</w:t>
            </w:r>
          </w:p>
        </w:tc>
        <w:tc>
          <w:tcPr>
            <w:tcW w:w="1278" w:type="dxa"/>
            <w:vAlign w:val="center"/>
          </w:tcPr>
          <w:p w14:paraId="6677BBE8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A70A3C0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01" w:type="dxa"/>
            <w:vAlign w:val="center"/>
          </w:tcPr>
          <w:p w14:paraId="6E46C8E0" w14:textId="1AE47231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2C952832" w14:textId="69057B3E" w:rsidR="00E8773C" w:rsidRPr="00387471" w:rsidRDefault="003A33CF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6C6454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E8773C" w:rsidRPr="000C4E85" w14:paraId="12665B3A" w14:textId="77777777">
        <w:tc>
          <w:tcPr>
            <w:tcW w:w="2545" w:type="dxa"/>
            <w:vAlign w:val="center"/>
          </w:tcPr>
          <w:p w14:paraId="6C1FEF50" w14:textId="77777777" w:rsidR="00E8773C" w:rsidRPr="0047647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 w:rsidRPr="00476475">
              <w:rPr>
                <w:color w:val="000000"/>
                <w:sz w:val="20"/>
                <w:szCs w:val="20"/>
                <w:lang w:val="pl-PL" w:eastAsia="pl-PL"/>
              </w:rPr>
              <w:t>2. 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202CB67E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E61BEEF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701" w:type="dxa"/>
            <w:vAlign w:val="center"/>
          </w:tcPr>
          <w:p w14:paraId="36E6DBBF" w14:textId="433A8068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51891137" w14:textId="6E3414ED" w:rsidR="00E8773C" w:rsidRPr="00387471" w:rsidRDefault="003A33CF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C6454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E8773C" w:rsidRPr="000C4E85" w14:paraId="6A10E5F0" w14:textId="77777777">
        <w:tc>
          <w:tcPr>
            <w:tcW w:w="2545" w:type="dxa"/>
            <w:vAlign w:val="center"/>
          </w:tcPr>
          <w:p w14:paraId="7BC6774A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3.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07DB4D12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3285055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3C9E8779" w14:textId="26DFF2BF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28C00873" w14:textId="06D62AFD" w:rsidR="00E8773C" w:rsidRPr="00387471" w:rsidRDefault="00232E4D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8773C" w:rsidRPr="00387471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E8773C" w:rsidRPr="000C4E85" w14:paraId="1304FBDF" w14:textId="77777777">
        <w:tc>
          <w:tcPr>
            <w:tcW w:w="2545" w:type="dxa"/>
            <w:vAlign w:val="center"/>
          </w:tcPr>
          <w:p w14:paraId="255210F0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4.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58609E7A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DAC9F9E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701" w:type="dxa"/>
            <w:vAlign w:val="center"/>
          </w:tcPr>
          <w:p w14:paraId="32741617" w14:textId="065CEAA2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2A8031D8" w14:textId="51F41787" w:rsidR="00E8773C" w:rsidRPr="00387471" w:rsidRDefault="00D13B4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425</w:t>
            </w:r>
            <w:r w:rsidR="00E8773C" w:rsidRPr="00387471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E8773C" w:rsidRPr="000C4E85" w14:paraId="3D752980" w14:textId="77777777">
        <w:tc>
          <w:tcPr>
            <w:tcW w:w="2545" w:type="dxa"/>
            <w:vAlign w:val="center"/>
          </w:tcPr>
          <w:p w14:paraId="413F49AB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5.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33F9ECAE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5F99499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701" w:type="dxa"/>
            <w:vAlign w:val="center"/>
          </w:tcPr>
          <w:p w14:paraId="22C66CB4" w14:textId="20040F1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3144F4EE" w14:textId="1B880C11" w:rsidR="00E8773C" w:rsidRPr="00387471" w:rsidRDefault="00D13B4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  <w:r w:rsidR="00E8773C" w:rsidRPr="00387471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E8773C" w:rsidRPr="000C4E85" w14:paraId="5A4F8A3C" w14:textId="77777777">
        <w:trPr>
          <w:cantSplit/>
        </w:trPr>
        <w:tc>
          <w:tcPr>
            <w:tcW w:w="2545" w:type="dxa"/>
            <w:vAlign w:val="center"/>
          </w:tcPr>
          <w:p w14:paraId="52C5E193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6.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0C6BA896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92F305A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701" w:type="dxa"/>
            <w:vAlign w:val="center"/>
          </w:tcPr>
          <w:p w14:paraId="425EA677" w14:textId="2AB39F11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4424FECB" w14:textId="33FE3369" w:rsidR="00E8773C" w:rsidRPr="00387471" w:rsidRDefault="00D13B4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  <w:r w:rsidR="00E8773C" w:rsidRPr="00387471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E8773C" w:rsidRPr="000C4E85" w14:paraId="047A071E" w14:textId="77777777">
        <w:tc>
          <w:tcPr>
            <w:tcW w:w="2545" w:type="dxa"/>
            <w:vAlign w:val="center"/>
          </w:tcPr>
          <w:p w14:paraId="38770D7E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7.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4A4D719D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180C81E2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81 108,00</w:t>
            </w:r>
          </w:p>
        </w:tc>
        <w:tc>
          <w:tcPr>
            <w:tcW w:w="1701" w:type="dxa"/>
            <w:vAlign w:val="center"/>
          </w:tcPr>
          <w:p w14:paraId="32DF7985" w14:textId="67DBBA4E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3A33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3A33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  <w:vAlign w:val="center"/>
          </w:tcPr>
          <w:p w14:paraId="4245A28E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344B3DFD" w14:textId="77777777">
        <w:tc>
          <w:tcPr>
            <w:tcW w:w="2545" w:type="dxa"/>
            <w:vAlign w:val="center"/>
          </w:tcPr>
          <w:p w14:paraId="586FC218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8.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275F566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2542C5D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01" w:type="dxa"/>
            <w:vAlign w:val="center"/>
          </w:tcPr>
          <w:p w14:paraId="4236AB40" w14:textId="5E5B4C5D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46548A52" w14:textId="738728D6" w:rsidR="00E8773C" w:rsidRPr="00387471" w:rsidRDefault="00030B42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E8773C" w:rsidRPr="00387471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  <w:tr w:rsidR="006052D5" w:rsidRPr="000C4E85" w14:paraId="7CE1CD57" w14:textId="77777777" w:rsidTr="00BE44D4">
        <w:tc>
          <w:tcPr>
            <w:tcW w:w="9634" w:type="dxa"/>
            <w:gridSpan w:val="5"/>
            <w:vAlign w:val="center"/>
          </w:tcPr>
          <w:p w14:paraId="7F6265A1" w14:textId="6C8C51CC" w:rsidR="006052D5" w:rsidRDefault="006052D5" w:rsidP="006052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 wskaźnik rezultatu bezpośredniego Projektu do osiągnięcia w terminie 12 miesięcy od zakończenia rzeczowej realizacji Projektu, która - zgodnie z wersją porozumienia o dofinansowanie projektu obowiązującą na dzień 3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3A33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marca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3A33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 – przypada na </w:t>
            </w:r>
            <w:r w:rsidR="003A33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3A33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marca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3A33CF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</w:t>
            </w:r>
          </w:p>
        </w:tc>
      </w:tr>
    </w:tbl>
    <w:p w14:paraId="4595D05A" w14:textId="77777777" w:rsidR="00CD1DBD" w:rsidRPr="007B173D" w:rsidRDefault="00CD1DB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7B173D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E-usługi A2A, A2B, A2C</w:t>
      </w:r>
      <w:r w:rsidRPr="007B173D">
        <w:rPr>
          <w:rFonts w:ascii="Arial" w:hAnsi="Arial" w:cs="Arial"/>
          <w:color w:val="auto"/>
        </w:rPr>
        <w:t xml:space="preserve"> </w:t>
      </w:r>
      <w:bookmarkStart w:id="0" w:name="_Hlk506932259"/>
      <w:r w:rsidRPr="007B173D">
        <w:rPr>
          <w:rFonts w:ascii="Arial" w:hAnsi="Arial" w:cs="Arial"/>
          <w:color w:val="808080"/>
          <w:sz w:val="20"/>
          <w:szCs w:val="20"/>
        </w:rPr>
        <w:t>&lt;maksymalnie 2000 znaków&gt;</w:t>
      </w:r>
      <w:bookmarkEnd w:id="0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835"/>
        <w:gridCol w:w="2409"/>
      </w:tblGrid>
      <w:tr w:rsidR="00CD1DBD" w:rsidRPr="000C4E85" w14:paraId="5E201536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F66E47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49566B1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835" w:type="dxa"/>
            <w:shd w:val="clear" w:color="auto" w:fill="D0CECE"/>
            <w:vAlign w:val="center"/>
          </w:tcPr>
          <w:p w14:paraId="13561E81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9DCFE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971B2C" w:rsidRPr="000C4E85" w14:paraId="7FD6E041" w14:textId="77777777" w:rsidTr="007B0541">
        <w:tc>
          <w:tcPr>
            <w:tcW w:w="2937" w:type="dxa"/>
            <w:vAlign w:val="center"/>
          </w:tcPr>
          <w:p w14:paraId="0FDAAC76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wytworzenia certyfikowanych materiałów odniesienia (CRM) – A2B</w:t>
            </w:r>
          </w:p>
        </w:tc>
        <w:tc>
          <w:tcPr>
            <w:tcW w:w="1453" w:type="dxa"/>
            <w:vAlign w:val="center"/>
          </w:tcPr>
          <w:p w14:paraId="5316D74D" w14:textId="1BE99DCF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2E4E73CC" w14:textId="3D6D29AE" w:rsidR="00971B2C" w:rsidRPr="000C4E85" w:rsidRDefault="003A33CF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E6231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E6231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409" w:type="dxa"/>
            <w:vAlign w:val="center"/>
          </w:tcPr>
          <w:p w14:paraId="12BD3640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6F1812BC" w14:textId="77777777" w:rsidTr="00030B42">
        <w:tc>
          <w:tcPr>
            <w:tcW w:w="2937" w:type="dxa"/>
            <w:vAlign w:val="center"/>
          </w:tcPr>
          <w:p w14:paraId="716627DA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przeprowadzania oceny zgodności – A2B</w:t>
            </w:r>
          </w:p>
        </w:tc>
        <w:tc>
          <w:tcPr>
            <w:tcW w:w="1453" w:type="dxa"/>
            <w:vAlign w:val="center"/>
          </w:tcPr>
          <w:p w14:paraId="7713DB57" w14:textId="00EC9626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4FD29044" w14:textId="03568626" w:rsidR="00971B2C" w:rsidRPr="000C4E85" w:rsidRDefault="00E62314" w:rsidP="00E623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409" w:type="dxa"/>
            <w:vAlign w:val="center"/>
          </w:tcPr>
          <w:p w14:paraId="5BF55DB0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034A6641" w14:textId="77777777" w:rsidTr="00030B42">
        <w:tc>
          <w:tcPr>
            <w:tcW w:w="2937" w:type="dxa"/>
            <w:vAlign w:val="center"/>
          </w:tcPr>
          <w:p w14:paraId="0993A26C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legalizacji przyrządów pomiarowych – A2B</w:t>
            </w:r>
          </w:p>
        </w:tc>
        <w:tc>
          <w:tcPr>
            <w:tcW w:w="1453" w:type="dxa"/>
            <w:vAlign w:val="center"/>
          </w:tcPr>
          <w:p w14:paraId="7FCAC0E7" w14:textId="79F39672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20575C8D" w14:textId="29651229" w:rsidR="00971B2C" w:rsidRPr="000C4E85" w:rsidRDefault="00E62314" w:rsidP="00E623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409" w:type="dxa"/>
            <w:vAlign w:val="center"/>
          </w:tcPr>
          <w:p w14:paraId="52863FCC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09F7C462" w14:textId="77777777" w:rsidTr="00030B42">
        <w:tc>
          <w:tcPr>
            <w:tcW w:w="2937" w:type="dxa"/>
            <w:vAlign w:val="center"/>
          </w:tcPr>
          <w:p w14:paraId="584189BA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wzorcowania przyrządów pomiarowych zgodnie z art. 6a ustawy Prawo o miarach – A2B</w:t>
            </w:r>
          </w:p>
        </w:tc>
        <w:tc>
          <w:tcPr>
            <w:tcW w:w="1453" w:type="dxa"/>
            <w:vAlign w:val="center"/>
          </w:tcPr>
          <w:p w14:paraId="654D94AA" w14:textId="6DE26296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6C4D2468" w14:textId="257664C5" w:rsidR="00971B2C" w:rsidRPr="000C4E85" w:rsidRDefault="00E62314" w:rsidP="00E623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409" w:type="dxa"/>
            <w:vAlign w:val="center"/>
          </w:tcPr>
          <w:p w14:paraId="667AA423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41A33DDE" w14:textId="77777777" w:rsidTr="00030B42">
        <w:tc>
          <w:tcPr>
            <w:tcW w:w="2937" w:type="dxa"/>
            <w:vAlign w:val="center"/>
          </w:tcPr>
          <w:p w14:paraId="0135AC23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przeprowadzenia ekspertyzy przyrządów pomiarowych – A2B</w:t>
            </w:r>
          </w:p>
        </w:tc>
        <w:tc>
          <w:tcPr>
            <w:tcW w:w="1453" w:type="dxa"/>
            <w:vAlign w:val="center"/>
          </w:tcPr>
          <w:p w14:paraId="0319679A" w14:textId="422BA33E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00A82ADC" w14:textId="4A04A40B" w:rsidR="00971B2C" w:rsidRPr="000C4E85" w:rsidRDefault="00E62314" w:rsidP="00E623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409" w:type="dxa"/>
            <w:vAlign w:val="center"/>
          </w:tcPr>
          <w:p w14:paraId="4E80E377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00835C87" w14:textId="77777777" w:rsidTr="00030B42">
        <w:tc>
          <w:tcPr>
            <w:tcW w:w="2937" w:type="dxa"/>
            <w:vAlign w:val="center"/>
          </w:tcPr>
          <w:p w14:paraId="2E8949A9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rejestrowania podmiotu w rejestrze producentów i importerów towarów paczkowanych lub butelek miarowych – A2B</w:t>
            </w:r>
          </w:p>
        </w:tc>
        <w:tc>
          <w:tcPr>
            <w:tcW w:w="1453" w:type="dxa"/>
            <w:vAlign w:val="center"/>
          </w:tcPr>
          <w:p w14:paraId="63DBB454" w14:textId="029981A9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7EA1F5D8" w14:textId="2F1628F7" w:rsidR="00971B2C" w:rsidRPr="000C4E85" w:rsidRDefault="00E62314" w:rsidP="00E623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409" w:type="dxa"/>
            <w:vAlign w:val="center"/>
          </w:tcPr>
          <w:p w14:paraId="26615EEC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2F192AAD" w14:textId="77777777" w:rsidTr="00030B42">
        <w:tc>
          <w:tcPr>
            <w:tcW w:w="2937" w:type="dxa"/>
            <w:vAlign w:val="center"/>
          </w:tcPr>
          <w:p w14:paraId="4A8163E2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monitorowania ważności certyfikatów – A2B</w:t>
            </w:r>
          </w:p>
        </w:tc>
        <w:tc>
          <w:tcPr>
            <w:tcW w:w="1453" w:type="dxa"/>
            <w:vAlign w:val="center"/>
          </w:tcPr>
          <w:p w14:paraId="60E1C1D2" w14:textId="3C3B0174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4FD59019" w14:textId="002E65F3" w:rsidR="00971B2C" w:rsidRPr="000C4E85" w:rsidRDefault="00E62314" w:rsidP="00E623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409" w:type="dxa"/>
            <w:vAlign w:val="center"/>
          </w:tcPr>
          <w:p w14:paraId="4F05DDC2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</w:tbl>
    <w:p w14:paraId="73870876" w14:textId="77777777" w:rsidR="00CD1DBD" w:rsidRPr="00445572" w:rsidRDefault="00CD1DB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</w:pPr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Udostępnione informacje sektora publicznego i </w:t>
      </w:r>
      <w:proofErr w:type="spellStart"/>
      <w:r w:rsidRPr="00445572">
        <w:rPr>
          <w:rStyle w:val="Nagwek3Znak"/>
          <w:rFonts w:ascii="Arial" w:hAnsi="Arial" w:cs="Arial"/>
          <w:b/>
          <w:bCs/>
          <w:color w:val="auto"/>
        </w:rPr>
        <w:t>zdigitalizowane</w:t>
      </w:r>
      <w:proofErr w:type="spellEnd"/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 zasoby</w:t>
      </w:r>
      <w:r w:rsidRPr="00445572"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976"/>
        <w:gridCol w:w="2268"/>
      </w:tblGrid>
      <w:tr w:rsidR="00CD1DBD" w:rsidRPr="000C4E85" w14:paraId="3D79C780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E5C7A0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5CC1117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976" w:type="dxa"/>
            <w:shd w:val="clear" w:color="auto" w:fill="D0CECE"/>
            <w:vAlign w:val="center"/>
          </w:tcPr>
          <w:p w14:paraId="75C7D6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E751A2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4FEE08B6" w14:textId="77777777">
        <w:tc>
          <w:tcPr>
            <w:tcW w:w="2937" w:type="dxa"/>
          </w:tcPr>
          <w:p w14:paraId="03E75837" w14:textId="77777777" w:rsidR="00CD1DBD" w:rsidRPr="000C4E85" w:rsidRDefault="00CD1DBD" w:rsidP="000C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5D2FD9D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FC61A1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DE3317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E66CD7" w14:textId="77777777">
        <w:tc>
          <w:tcPr>
            <w:tcW w:w="2937" w:type="dxa"/>
          </w:tcPr>
          <w:p w14:paraId="79D0FD77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6198A5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81CC4B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2B2AEB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1C1B3699" w14:textId="77777777">
        <w:tc>
          <w:tcPr>
            <w:tcW w:w="2937" w:type="dxa"/>
          </w:tcPr>
          <w:p w14:paraId="31EA485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03E5784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544641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BC0521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4F2C2F" w14:textId="77777777">
        <w:tc>
          <w:tcPr>
            <w:tcW w:w="2937" w:type="dxa"/>
          </w:tcPr>
          <w:p w14:paraId="5B0A3C0F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32AEF9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D9E970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814A6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751D13FB" w14:textId="77777777">
        <w:tc>
          <w:tcPr>
            <w:tcW w:w="2937" w:type="dxa"/>
          </w:tcPr>
          <w:p w14:paraId="075EE5A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5E9C5A8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F49F5B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3642C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947CBD" w14:textId="35673068" w:rsidR="00CD1DBD" w:rsidRPr="00445572" w:rsidRDefault="00CD1DB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12630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00E1263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E12630">
        <w:rPr>
          <w:rFonts w:ascii="Arial" w:hAnsi="Arial" w:cs="Arial"/>
          <w:color w:val="auto"/>
        </w:rPr>
        <w:t xml:space="preserve"> </w:t>
      </w:r>
      <w:r w:rsidRPr="00E12630">
        <w:rPr>
          <w:rFonts w:ascii="Arial" w:hAnsi="Arial" w:cs="Arial"/>
          <w:color w:val="808080"/>
          <w:sz w:val="20"/>
          <w:szCs w:val="20"/>
        </w:rPr>
        <w:t>&lt;maksymalnie 2000</w:t>
      </w:r>
      <w:r w:rsidRPr="00CE3E6B">
        <w:rPr>
          <w:rFonts w:ascii="Arial" w:hAnsi="Arial" w:cs="Arial"/>
          <w:color w:val="808080"/>
          <w:sz w:val="20"/>
          <w:szCs w:val="20"/>
        </w:rPr>
        <w:t xml:space="preserve"> znaków&gt;</w:t>
      </w:r>
      <w:r w:rsidRPr="00445572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99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87"/>
      </w:tblGrid>
      <w:tr w:rsidR="00CD1DBD" w:rsidRPr="000C4E85" w14:paraId="728BB7C5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168268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3FF44B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12FB7E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687" w:type="dxa"/>
            <w:shd w:val="clear" w:color="auto" w:fill="D0CECE"/>
            <w:vAlign w:val="center"/>
          </w:tcPr>
          <w:p w14:paraId="553522F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względem produktów innych projektów</w:t>
            </w:r>
          </w:p>
        </w:tc>
      </w:tr>
      <w:tr w:rsidR="0060034B" w:rsidRPr="000C4E85" w14:paraId="5155862E" w14:textId="77777777" w:rsidTr="007B0541">
        <w:trPr>
          <w:cantSplit/>
        </w:trPr>
        <w:tc>
          <w:tcPr>
            <w:tcW w:w="3120" w:type="dxa"/>
            <w:vAlign w:val="center"/>
          </w:tcPr>
          <w:p w14:paraId="7515F06E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Rejestry publiczne o poprawionej interoperacyjności: rejestr danych identyfikacyjnych i teleadresowych przedsiębiorców i instytucji publicznych wykorzystujących przyrządy pomiarowe; rejestr podmiotów, które zostały upoważnione do legalizacji pierwotnej i ponownej określonych przyrządów pomiarowych oraz 2 rejestry zezwoleń wydanych przez Prezesa GUM na prowadzenie działalności gospodarczej i warsztatu w zakresie instalacji, napraw lub sprawdzania urządzeń rejestrujących.</w:t>
            </w:r>
          </w:p>
        </w:tc>
        <w:tc>
          <w:tcPr>
            <w:tcW w:w="1701" w:type="dxa"/>
            <w:vAlign w:val="center"/>
          </w:tcPr>
          <w:p w14:paraId="65B5B381" w14:textId="444F081D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06B44C56" w14:textId="629D0C78" w:rsidR="0060034B" w:rsidRPr="000C4E85" w:rsidRDefault="00466B42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687" w:type="dxa"/>
            <w:vAlign w:val="center"/>
          </w:tcPr>
          <w:p w14:paraId="4DE12501" w14:textId="4EA84B1A" w:rsidR="0060034B" w:rsidRPr="003A2277" w:rsidRDefault="00210DDE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60034B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rojekt nie wykazuje komplementarności z innymi projektami. Funkcjonalności systemu ŚWITEŹ są projektowane odpowiednio do zakresu działania i unikatowych w skali kraju zadań administracji miar. Wskazany produkt integruje wewnętrzne rejestry Urzędu. </w:t>
            </w:r>
          </w:p>
        </w:tc>
      </w:tr>
      <w:tr w:rsidR="0060034B" w:rsidRPr="000C4E85" w14:paraId="3DC91FF3" w14:textId="77777777" w:rsidTr="007B0541">
        <w:trPr>
          <w:cantSplit/>
        </w:trPr>
        <w:tc>
          <w:tcPr>
            <w:tcW w:w="3120" w:type="dxa"/>
            <w:vAlign w:val="center"/>
          </w:tcPr>
          <w:p w14:paraId="5909855A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Dedykowany otwarty interfejs API do komunikacji w zakresie składanych dokumentów elektronicznych i informacji o ich doręczeniu (możliwości implementacji kanału komunikacji w systemach wewnętrznych przedsiębiorców).</w:t>
            </w:r>
          </w:p>
        </w:tc>
        <w:tc>
          <w:tcPr>
            <w:tcW w:w="1701" w:type="dxa"/>
            <w:vAlign w:val="center"/>
          </w:tcPr>
          <w:p w14:paraId="5D4DA416" w14:textId="6E2C4408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069CCA65" w14:textId="155DBEF5" w:rsidR="0060034B" w:rsidRPr="000C4E85" w:rsidRDefault="00466B42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687" w:type="dxa"/>
            <w:vAlign w:val="center"/>
          </w:tcPr>
          <w:p w14:paraId="480D3578" w14:textId="026FF564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współprac</w:t>
            </w:r>
            <w:r w:rsidR="009D6F83">
              <w:rPr>
                <w:rFonts w:ascii="Arial" w:hAnsi="Arial" w:cs="Arial"/>
                <w:color w:val="000000"/>
                <w:sz w:val="20"/>
                <w:szCs w:val="20"/>
              </w:rPr>
              <w:t>uje m.in.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z platformą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9D6F83">
              <w:rPr>
                <w:rFonts w:ascii="Arial" w:hAnsi="Arial" w:cs="Arial"/>
                <w:color w:val="000000"/>
                <w:sz w:val="20"/>
                <w:szCs w:val="20"/>
              </w:rPr>
              <w:t xml:space="preserve"> Interfejs API został wytworzony i odebrany. Dokumentacja niezbędna do integracji jest udostępniana na wniosek zainteresowanym podmiotom.</w:t>
            </w:r>
          </w:p>
        </w:tc>
      </w:tr>
      <w:tr w:rsidR="0060034B" w:rsidRPr="000C4E85" w14:paraId="162F4ED5" w14:textId="77777777" w:rsidTr="007B0541">
        <w:trPr>
          <w:cantSplit/>
        </w:trPr>
        <w:tc>
          <w:tcPr>
            <w:tcW w:w="3120" w:type="dxa"/>
            <w:vAlign w:val="center"/>
          </w:tcPr>
          <w:p w14:paraId="67DB8192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pobierania informacji z baz danych GUM łącznie z załącznikami, jeżeli takie występują (np. pliki graficzne).</w:t>
            </w:r>
          </w:p>
        </w:tc>
        <w:tc>
          <w:tcPr>
            <w:tcW w:w="1701" w:type="dxa"/>
            <w:vAlign w:val="center"/>
          </w:tcPr>
          <w:p w14:paraId="6B06A523" w14:textId="72C45151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78FA2D84" w14:textId="34CE6344" w:rsidR="0060034B" w:rsidRPr="000C4E85" w:rsidRDefault="009D6F83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687" w:type="dxa"/>
            <w:vAlign w:val="center"/>
          </w:tcPr>
          <w:p w14:paraId="30B12042" w14:textId="1C25A56B" w:rsidR="0060034B" w:rsidRPr="003A2277" w:rsidRDefault="009D6F83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współprac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uje m.in.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z platformą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Interfejs API został wytworzony i odebrany. Dokumentacja niezbędna do integracji jest udostępniana na wniosek zainteresowanym podmiotom.</w:t>
            </w:r>
          </w:p>
        </w:tc>
      </w:tr>
      <w:tr w:rsidR="0060034B" w:rsidRPr="000C4E85" w14:paraId="75450634" w14:textId="77777777" w:rsidTr="007B0541">
        <w:trPr>
          <w:cantSplit/>
        </w:trPr>
        <w:tc>
          <w:tcPr>
            <w:tcW w:w="3120" w:type="dxa"/>
            <w:vAlign w:val="center"/>
          </w:tcPr>
          <w:p w14:paraId="2FF00677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udostępniania informacji statystycznej GUM Rozszerzanie zakresu danych i źródeł informacji udostępnianych na wspólnych portalach administracji publicznej.</w:t>
            </w:r>
          </w:p>
        </w:tc>
        <w:tc>
          <w:tcPr>
            <w:tcW w:w="1701" w:type="dxa"/>
            <w:vAlign w:val="center"/>
          </w:tcPr>
          <w:p w14:paraId="2634C8D7" w14:textId="27F0B31B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5209B021" w14:textId="542E608D" w:rsidR="0060034B" w:rsidRPr="000C4E85" w:rsidRDefault="009D6F83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687" w:type="dxa"/>
            <w:vAlign w:val="center"/>
          </w:tcPr>
          <w:p w14:paraId="58B6BB87" w14:textId="38D7AC3D" w:rsidR="0060034B" w:rsidRPr="003A2277" w:rsidRDefault="009D6F83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Interfejs API systemu został wytworzony i odebrany. Dokumentacja niezbędna do integracji jest udostępniana na wniosek zainteresowanym podmiotom.</w:t>
            </w:r>
          </w:p>
        </w:tc>
      </w:tr>
      <w:tr w:rsidR="0060034B" w:rsidRPr="000C4E85" w14:paraId="58AB596C" w14:textId="77777777" w:rsidTr="007B0541">
        <w:trPr>
          <w:cantSplit/>
        </w:trPr>
        <w:tc>
          <w:tcPr>
            <w:tcW w:w="3120" w:type="dxa"/>
            <w:vAlign w:val="center"/>
          </w:tcPr>
          <w:p w14:paraId="740BE2C3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System będzie korzystać z dostępnych referencyjnych zbiorów danych administracji państwowej w zakresie uzupełniania danych wprowadzanych przez Klientów lub ich weryfikacji m.in. w zakresie numeru NIP, numeru REGON lub wpisu do rejestru KRS.</w:t>
            </w:r>
          </w:p>
        </w:tc>
        <w:tc>
          <w:tcPr>
            <w:tcW w:w="1701" w:type="dxa"/>
            <w:vAlign w:val="center"/>
          </w:tcPr>
          <w:p w14:paraId="07074602" w14:textId="0A06AC0E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3D15753F" w14:textId="4D807896" w:rsidR="0060034B" w:rsidRPr="000C4E85" w:rsidRDefault="009D6F83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687" w:type="dxa"/>
            <w:vAlign w:val="center"/>
          </w:tcPr>
          <w:p w14:paraId="7B3FC667" w14:textId="64EDA539" w:rsidR="0060034B" w:rsidRPr="003A2277" w:rsidRDefault="009D6F83" w:rsidP="009D6F8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jest zintegrowany w tym zakresie z rejestrem REGON. Zakres integracji został rozszerzony o dane przedstawicieli przedsiębiorców w celu dodatkowej walidacji uprawnień zalogowanych użytkowników. </w:t>
            </w:r>
          </w:p>
        </w:tc>
      </w:tr>
      <w:tr w:rsidR="0060034B" w:rsidRPr="000C4E85" w14:paraId="7E1699CF" w14:textId="77777777" w:rsidTr="007B0541">
        <w:trPr>
          <w:cantSplit/>
        </w:trPr>
        <w:tc>
          <w:tcPr>
            <w:tcW w:w="3120" w:type="dxa"/>
            <w:vAlign w:val="center"/>
          </w:tcPr>
          <w:p w14:paraId="409275C0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Wdrożony system wsparcia informatycznego usług terenowej administracji miar „Świteź”</w:t>
            </w:r>
          </w:p>
        </w:tc>
        <w:tc>
          <w:tcPr>
            <w:tcW w:w="1701" w:type="dxa"/>
            <w:vAlign w:val="center"/>
          </w:tcPr>
          <w:p w14:paraId="4DBC27B5" w14:textId="452E2984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464C263E" w14:textId="6E34E1A8" w:rsidR="0060034B" w:rsidRPr="000C4E85" w:rsidRDefault="008E3B29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687" w:type="dxa"/>
            <w:vAlign w:val="center"/>
          </w:tcPr>
          <w:p w14:paraId="7263EA0B" w14:textId="1827D057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ŚWITEŹ </w:t>
            </w:r>
            <w:r w:rsidR="008E3B29">
              <w:rPr>
                <w:rFonts w:ascii="Arial" w:hAnsi="Arial" w:cs="Arial"/>
                <w:color w:val="000000"/>
                <w:sz w:val="20"/>
                <w:szCs w:val="20"/>
              </w:rPr>
              <w:t xml:space="preserve">jest jednym z podstawowych kanałów dostępu do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 administracji </w:t>
            </w:r>
            <w:r w:rsidR="008E3B29">
              <w:rPr>
                <w:rFonts w:ascii="Arial" w:hAnsi="Arial" w:cs="Arial"/>
                <w:color w:val="000000"/>
                <w:sz w:val="20"/>
                <w:szCs w:val="20"/>
              </w:rPr>
              <w:t>miar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Z uwagi na unikatowość usług świadczonych przez administrację miar, system ten opiera się na dedykowanych rozwiązaniach, które </w:t>
            </w:r>
            <w:r w:rsidR="008E3B29">
              <w:rPr>
                <w:rFonts w:ascii="Arial" w:hAnsi="Arial" w:cs="Arial"/>
                <w:color w:val="000000"/>
                <w:sz w:val="20"/>
                <w:szCs w:val="20"/>
              </w:rPr>
              <w:t>są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komplementarne i kompatybilne z funkcjonującymi już usługami w administracji publicznej.</w:t>
            </w:r>
          </w:p>
        </w:tc>
      </w:tr>
      <w:tr w:rsidR="0060034B" w:rsidRPr="000C4E85" w14:paraId="3EC019D4" w14:textId="77777777" w:rsidTr="007B0541">
        <w:trPr>
          <w:cantSplit/>
        </w:trPr>
        <w:tc>
          <w:tcPr>
            <w:tcW w:w="3120" w:type="dxa"/>
            <w:vAlign w:val="center"/>
          </w:tcPr>
          <w:p w14:paraId="4417971B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Infrastruktura programowo-sprzętowa terenowej administracji miar, w tym stanowiska mobilne.</w:t>
            </w:r>
          </w:p>
        </w:tc>
        <w:tc>
          <w:tcPr>
            <w:tcW w:w="1701" w:type="dxa"/>
            <w:vAlign w:val="center"/>
          </w:tcPr>
          <w:p w14:paraId="580CB8DB" w14:textId="48AE7F98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7B1C7F6C" w14:textId="5F72DFFF" w:rsidR="0060034B" w:rsidRPr="000C4E85" w:rsidRDefault="005B183E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687" w:type="dxa"/>
            <w:vAlign w:val="center"/>
          </w:tcPr>
          <w:p w14:paraId="2540BE73" w14:textId="5AE36B45" w:rsidR="005B183E" w:rsidRDefault="005B183E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Wszystkie komputery przenośne i stacjonarne zakupione w ramach realizacji projektu zostały odebrane od dostawcy, dostosowane do pracy w wytworzonym systemie informatycznym ŚWITEŹ oraz rozdystrybuowane do docelowych ich użytkowników (60 lokalizacji w większych miastach kraju).</w:t>
            </w:r>
          </w:p>
          <w:p w14:paraId="0F515896" w14:textId="53D952D0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0034B" w:rsidRPr="000C4E85" w14:paraId="6226BB85" w14:textId="77777777" w:rsidTr="007B0541">
        <w:trPr>
          <w:cantSplit/>
        </w:trPr>
        <w:tc>
          <w:tcPr>
            <w:tcW w:w="3120" w:type="dxa"/>
            <w:vAlign w:val="center"/>
          </w:tcPr>
          <w:p w14:paraId="6AABC1B7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Hosting infrastruktury serwerowej.</w:t>
            </w:r>
          </w:p>
        </w:tc>
        <w:tc>
          <w:tcPr>
            <w:tcW w:w="1701" w:type="dxa"/>
            <w:vAlign w:val="center"/>
          </w:tcPr>
          <w:p w14:paraId="5A33724E" w14:textId="653595EE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02B4F89A" w14:textId="2D0A6139" w:rsidR="0060034B" w:rsidRPr="000C4E85" w:rsidRDefault="00227856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687" w:type="dxa"/>
            <w:vAlign w:val="center"/>
          </w:tcPr>
          <w:p w14:paraId="73B1CC63" w14:textId="77777777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Brak komplanarności z innymi produktami.</w:t>
            </w:r>
          </w:p>
          <w:p w14:paraId="06FAE4C3" w14:textId="534AE26F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Usługa hostingu infrastruktury serwerowej dedykowana wyłącznie dla projektowanego systemu „ŚWITEŹ”</w:t>
            </w:r>
            <w:r w:rsidR="00227856">
              <w:rPr>
                <w:rFonts w:ascii="Arial" w:hAnsi="Arial" w:cs="Arial"/>
                <w:color w:val="000000"/>
                <w:sz w:val="20"/>
                <w:szCs w:val="20"/>
              </w:rPr>
              <w:t xml:space="preserve"> jest realizowana w sposób ciągły od maja 2020 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2F4BD61" w14:textId="77777777" w:rsidR="00CD1DBD" w:rsidRPr="002D61BA" w:rsidRDefault="00CD1DB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C1ED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  <w:r w:rsidRPr="002D61BA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Pr="002D61BA">
        <w:rPr>
          <w:rFonts w:ascii="Arial" w:hAnsi="Arial" w:cs="Arial"/>
          <w:color w:val="0070C0"/>
        </w:rPr>
        <w:t xml:space="preserve">  </w:t>
      </w:r>
      <w:r w:rsidRPr="002D61B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11E079" w14:textId="77777777" w:rsidR="00CD1DBD" w:rsidRPr="00141A92" w:rsidRDefault="00CD1DBD" w:rsidP="00F25348">
      <w:pPr>
        <w:spacing w:after="120"/>
        <w:rPr>
          <w:rFonts w:ascii="Arial" w:hAnsi="Arial" w:cs="Arial"/>
          <w:sz w:val="20"/>
          <w:szCs w:val="20"/>
        </w:rPr>
      </w:pPr>
      <w:r w:rsidRPr="002D61B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94"/>
      </w:tblGrid>
      <w:tr w:rsidR="00CD1DBD" w:rsidRPr="000C4E85" w14:paraId="49CF376F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02DD3836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BC22735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2670C49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/>
            <w:vAlign w:val="center"/>
          </w:tcPr>
          <w:p w14:paraId="264F4322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CC8197F" w14:textId="77777777" w:rsidTr="00B24BA7">
        <w:tc>
          <w:tcPr>
            <w:tcW w:w="3120" w:type="dxa"/>
            <w:vAlign w:val="center"/>
          </w:tcPr>
          <w:p w14:paraId="2D8E6D20" w14:textId="78D25D1A" w:rsidR="00CD1DBD" w:rsidRPr="00D249EF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22930938"/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Przekroczenie zakładanych kosztów </w:t>
            </w:r>
            <w:r w:rsidR="006052D5"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i terminu </w:t>
            </w:r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>realizacji projektu</w:t>
            </w:r>
          </w:p>
        </w:tc>
        <w:tc>
          <w:tcPr>
            <w:tcW w:w="1701" w:type="dxa"/>
            <w:vAlign w:val="center"/>
          </w:tcPr>
          <w:p w14:paraId="4BFD2942" w14:textId="2E76B8F5" w:rsidR="00CD1DBD" w:rsidRPr="00D249EF" w:rsidRDefault="0092787C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</w:t>
            </w:r>
          </w:p>
        </w:tc>
        <w:tc>
          <w:tcPr>
            <w:tcW w:w="2409" w:type="dxa"/>
            <w:vAlign w:val="center"/>
          </w:tcPr>
          <w:p w14:paraId="4A24B180" w14:textId="6AE19145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7F9EEDC6" w14:textId="585D73A2" w:rsidR="00D90CCF" w:rsidRDefault="00D90CCF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2CC9E4DB" w14:textId="77777777" w:rsidR="00D90CCF" w:rsidRDefault="00D90CCF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19004C" w14:textId="0F14D206" w:rsidR="006052D5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Kontrola pracochłonności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czasochłonności </w:t>
            </w:r>
            <w:r w:rsidRPr="00367909">
              <w:rPr>
                <w:rFonts w:ascii="Arial" w:hAnsi="Arial" w:cs="Arial"/>
                <w:sz w:val="20"/>
                <w:szCs w:val="20"/>
              </w:rPr>
              <w:t>wytwarzania oprogramowania, weryfikacja pozostałych kosztów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terminów pośrednich</w:t>
            </w:r>
            <w:r w:rsidRPr="00367909">
              <w:rPr>
                <w:rFonts w:ascii="Arial" w:hAnsi="Arial" w:cs="Arial"/>
                <w:sz w:val="20"/>
                <w:szCs w:val="20"/>
              </w:rPr>
              <w:t>, formułowanie zadań z wykorzystaniem prawa opcji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tolerancją czasową</w:t>
            </w:r>
            <w:r w:rsidRPr="00367909">
              <w:rPr>
                <w:rFonts w:ascii="Arial" w:hAnsi="Arial" w:cs="Arial"/>
                <w:sz w:val="20"/>
                <w:szCs w:val="20"/>
              </w:rPr>
              <w:t>, utworzenie rezerwy finansowej</w:t>
            </w:r>
            <w:r>
              <w:rPr>
                <w:rFonts w:ascii="Arial" w:hAnsi="Arial" w:cs="Arial"/>
                <w:sz w:val="20"/>
                <w:szCs w:val="20"/>
              </w:rPr>
              <w:t xml:space="preserve"> i buforu czasowego</w:t>
            </w:r>
            <w:r w:rsidRPr="003679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2D5474" w14:textId="77777777" w:rsidR="006052D5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Spodziewanymi efektami działań jest zapobieżenie przekroczeniu planowanych kosztów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terminów 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realizacji projektu przy jednoczesnym zachowaniu maksymalnej jakości oczekiwanych produktów. </w:t>
            </w:r>
          </w:p>
          <w:p w14:paraId="15A4C28B" w14:textId="46F80684" w:rsidR="00CD1DBD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Poziom ryzyka w stosunku do poprzedniego okresu sprawozdawczego </w:t>
            </w:r>
            <w:r w:rsidR="00D249EF">
              <w:rPr>
                <w:rFonts w:ascii="Arial" w:hAnsi="Arial" w:cs="Arial"/>
                <w:sz w:val="20"/>
                <w:szCs w:val="20"/>
              </w:rPr>
              <w:t>zwiększył się ze średniego na duże</w:t>
            </w:r>
          </w:p>
        </w:tc>
      </w:tr>
      <w:tr w:rsidR="00CD1DBD" w:rsidRPr="000C4E85" w14:paraId="0CE6C5F2" w14:textId="77777777" w:rsidTr="00B24BA7">
        <w:tc>
          <w:tcPr>
            <w:tcW w:w="3120" w:type="dxa"/>
            <w:vAlign w:val="center"/>
          </w:tcPr>
          <w:p w14:paraId="53871685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Niewystarczające zasoby kadrowe</w:t>
            </w:r>
          </w:p>
        </w:tc>
        <w:tc>
          <w:tcPr>
            <w:tcW w:w="1701" w:type="dxa"/>
            <w:vAlign w:val="center"/>
          </w:tcPr>
          <w:p w14:paraId="0077D00D" w14:textId="1FD8AAE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Duż</w:t>
            </w:r>
            <w:r w:rsidR="0038459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09" w:type="dxa"/>
            <w:vAlign w:val="center"/>
          </w:tcPr>
          <w:p w14:paraId="0F752D23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2836F121" w14:textId="5ECD38C2" w:rsidR="00D90CCF" w:rsidRDefault="00D90CCF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6C16C61F" w14:textId="77777777" w:rsidR="00D90CCF" w:rsidRDefault="00D90CCF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5143DA" w14:textId="1429F209" w:rsidR="00CD1DBD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Przydzielenie odpowiednich zasobów do realizacji projektu, zaangażowanie zewnętrznego doradcy technicznego. Zastosowanie metodyki zarządzania w zakresie kształtowania zespołu.</w:t>
            </w:r>
          </w:p>
          <w:p w14:paraId="3A69AAE1" w14:textId="2B20C382" w:rsidR="00472CD9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Spodziewanymi efektami działań jest zachowanie maksymalnej jakości oczekiwanych produktów w projekcie poprzez odpowiedni </w:t>
            </w:r>
            <w:r w:rsidRPr="002D61BA">
              <w:rPr>
                <w:rFonts w:ascii="Arial" w:hAnsi="Arial" w:cs="Arial"/>
                <w:sz w:val="20"/>
                <w:szCs w:val="20"/>
              </w:rPr>
              <w:lastRenderedPageBreak/>
              <w:t xml:space="preserve">dobór kadry eksperckiej oraz pozyskanie wsparcia w obszarach, w których beneficjent nie dysponuje wystarczającymi zasobami. Elementem, który w sposób znaczący podnosi poziom ryzyka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tym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obszarze jest aktualna sytuacja w kraju związana z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trwającym </w:t>
            </w:r>
            <w:r w:rsidRPr="002D61BA">
              <w:rPr>
                <w:rFonts w:ascii="Arial" w:hAnsi="Arial" w:cs="Arial"/>
                <w:sz w:val="20"/>
                <w:szCs w:val="20"/>
              </w:rPr>
              <w:t>stan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em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 epidem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icznym.</w:t>
            </w:r>
            <w:r w:rsidR="00646343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Beneficjent w celu minimalizacji ryzyka utraty kadry i wsparcia merytorycznego w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okresie pełnego rygoru kwarantanny i izolacji społecznej, </w:t>
            </w:r>
            <w:r w:rsidRPr="002D61BA">
              <w:rPr>
                <w:rFonts w:ascii="Arial" w:hAnsi="Arial" w:cs="Arial"/>
                <w:sz w:val="20"/>
                <w:szCs w:val="20"/>
              </w:rPr>
              <w:t>zalecił prowadzenie pracy kadry projektowej zdalnie.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W obecnie trwającym okresie </w:t>
            </w:r>
            <w:r w:rsidR="00474506">
              <w:rPr>
                <w:rFonts w:ascii="Arial" w:hAnsi="Arial" w:cs="Arial"/>
                <w:sz w:val="20"/>
                <w:szCs w:val="20"/>
              </w:rPr>
              <w:t>wzrostu zachorowalności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podejm</w:t>
            </w:r>
            <w:r w:rsidR="00474506">
              <w:rPr>
                <w:rFonts w:ascii="Arial" w:hAnsi="Arial" w:cs="Arial"/>
                <w:sz w:val="20"/>
                <w:szCs w:val="20"/>
              </w:rPr>
              <w:t>uje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środki zabezpieczające zdrowie i życie członków zespołu projektowego – 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>poprzez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minimalizację kontaktów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(prac części zespołu w formie zdalnej)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stosow</w:t>
            </w:r>
            <w:r w:rsidR="00474506">
              <w:rPr>
                <w:rFonts w:ascii="Arial" w:hAnsi="Arial" w:cs="Arial"/>
                <w:sz w:val="20"/>
                <w:szCs w:val="20"/>
              </w:rPr>
              <w:t>a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nie środków ochrony osobistej. </w:t>
            </w:r>
          </w:p>
          <w:p w14:paraId="387F7636" w14:textId="29A49E56" w:rsidR="00CD1DBD" w:rsidRPr="002D61BA" w:rsidRDefault="00B3277E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Jednakże z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uwagi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a wiele czynników, które mają wpływ na rozwój zdarzeń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bszarze zdrowia i życia członków zespołu i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funkcjonowania na rynku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podmiotów świadczących usługi wsparcia w projekcie oraz wynikająca z tego trudność beneficjenta w minimalizowaniu skutków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w tym obszarze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,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 poziom ryzyk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w bieżącym okresie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zosta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je utrzymany </w:t>
            </w:r>
            <w:r w:rsidR="002D61BA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D61BA">
              <w:rPr>
                <w:rFonts w:ascii="Arial" w:hAnsi="Arial" w:cs="Arial"/>
                <w:sz w:val="20"/>
                <w:szCs w:val="20"/>
              </w:rPr>
              <w:t>poziomie</w:t>
            </w:r>
            <w:r w:rsidR="00527F19" w:rsidRPr="002D61BA">
              <w:rPr>
                <w:rFonts w:ascii="Arial" w:hAnsi="Arial" w:cs="Arial"/>
                <w:sz w:val="20"/>
                <w:szCs w:val="20"/>
              </w:rPr>
              <w:t xml:space="preserve"> duż</w:t>
            </w:r>
            <w:r w:rsidRPr="002D61BA">
              <w:rPr>
                <w:rFonts w:ascii="Arial" w:hAnsi="Arial" w:cs="Arial"/>
                <w:sz w:val="20"/>
                <w:szCs w:val="20"/>
              </w:rPr>
              <w:t>ym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6713150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F4C1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Nieprawidłowe działania wykonawcy związane z: wdrożeniem systemu „ŚWITEŹ”, utrzymaniem odpowiedniego poziomu bezpieczeństwa i zapewnieniem wydajności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884C" w14:textId="77777777" w:rsidR="00CD1DBD" w:rsidRPr="00FD72F7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2F7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2F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1951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56D305E7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00672B" w14:textId="65FD39D4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Wybór wykonawcy z odpowiednim przygotowaniem oraz zapleczem technicznym. Na wykonawcę nałożony zosta</w:t>
            </w:r>
            <w:r w:rsidR="00B96411">
              <w:rPr>
                <w:rFonts w:ascii="Arial" w:hAnsi="Arial" w:cs="Arial"/>
                <w:sz w:val="20"/>
                <w:szCs w:val="20"/>
              </w:rPr>
              <w:t>ł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 również obowiązek prowadzenia projektu zgodnie z uznaną metodyką. Organizowanie cyklicz</w:t>
            </w:r>
            <w:r w:rsidR="001841E8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ych spotkań nadzoru w trakcie realizacji kontraktu z wykonawcą. Wybór zewnętrznego doradcy technicznego.</w:t>
            </w:r>
          </w:p>
          <w:p w14:paraId="0A82CF7D" w14:textId="77777777" w:rsidR="00CD1DBD" w:rsidRPr="00367909" w:rsidRDefault="00CD1DBD" w:rsidP="00F770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lastRenderedPageBreak/>
              <w:t xml:space="preserve">Spodziewanymi efektami działań jest: zachowanie maksymalnej jakości produktów w projekcie, w tym ich najwyższych standardów technicznych i wymagań określonych w dokumentacji projektowej oraz pełnej kontroli nad realizacją projektu. </w:t>
            </w:r>
          </w:p>
          <w:p w14:paraId="575EB358" w14:textId="77777777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180FEC" w:rsidRPr="000C4E85" w14:paraId="32131B75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ADF6" w14:textId="471D31F8" w:rsidR="00180FEC" w:rsidRPr="000C4E85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2DBD">
              <w:rPr>
                <w:rFonts w:ascii="Arial" w:hAnsi="Arial" w:cs="Arial"/>
                <w:sz w:val="20"/>
                <w:szCs w:val="20"/>
              </w:rPr>
              <w:lastRenderedPageBreak/>
              <w:t>Brak udostępnienia danych przez system ŚWITEŹ do integracji z systemem F-K lub udostępnienie danych w ograniczonym zakresie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7B14" w14:textId="243E3843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="0038459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7765" w14:textId="58766E8F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D84E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0C6E057A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7C4940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Przeprowadzenie – przy wsparciu merytorycznym Inżyniera Kontraktu, analizy zaplanowanych do osiągniecia funkcjonalności systemu w celu wytypowania tych o niskim poziomie istotności dla użytkownika i dla funkcjonowania systemu.</w:t>
            </w:r>
          </w:p>
          <w:p w14:paraId="05130C46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Wsparcie merytoryczne Inżynier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 Kontraktu w negocjowaniu zmian umowy z głównym wykonawcą systemu.</w:t>
            </w:r>
          </w:p>
          <w:p w14:paraId="46CA7BBF" w14:textId="77777777" w:rsidR="00180FEC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Spodziewanym efektem działań jest zachowanie priorytetów i celów głównych projektu – m.in. zaprojektowanie i wdrożenie rozwiązań w pełni i skutecznie integrujących system ŚWITEŹ z systemami publicznymi przy jednoczesnym zachowaniu ram czasowych i finansowych projektu.</w:t>
            </w:r>
          </w:p>
          <w:p w14:paraId="040E4253" w14:textId="60FA2F91" w:rsidR="00180FEC" w:rsidRPr="00367909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2B9DD8A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6A00" w14:textId="42D54F5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Niedostateczna wydajność procedury testowej w trybie zdalnym, wymuszonym stanem pandemii.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BFF" w14:textId="224BEA9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FBE" w14:textId="71095262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AE65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7E3B3779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B2A81" w14:textId="77777777" w:rsidR="0038459E" w:rsidRDefault="0038459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Podział testów na 5 transzy. Realizacja testów przez 3 grupy zadaniowe składające się 2-3 zespołów 5-7 osobowych złożonych z członków zespołu projektowego i przyszłych administratorów systemu. 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Co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dzienne podsumowanie wyników testów. Weryfikacja wykonanych testów po zakończeniu każdej transzy. Analiza i korekta planu testów przed kolejną transzą.</w:t>
            </w:r>
          </w:p>
          <w:p w14:paraId="3C949827" w14:textId="5515801C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3F8F796F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E90" w14:textId="0C30C04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Ograniczona integracja systemu ŚWITEŹ z systemem F-K GUM wynikająca z ograniczeń technicznych po stronie systemu F-K GUM.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5E9B" w14:textId="36A25DF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4768" w14:textId="0DFAB48E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EE70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6C9425A3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7369E3" w14:textId="77777777" w:rsidR="0038459E" w:rsidRDefault="001F2E20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Objęcie weryfikacją wprowadzonych zmian w ramach II transzy testów akceptacyjnych systemu. Weryfikacja zmian i obsługi API po stronie F-K GUM.</w:t>
            </w:r>
          </w:p>
          <w:p w14:paraId="1E4E5E97" w14:textId="24B308E9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6B69B546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C894" w14:textId="0391554D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Opóźnienia w realizacji zakupu sprzętu IT w zakładanym terminie w związku z koniecznością prowadzenia postępowania za pośrednictwem COAR.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C2C9" w14:textId="11660F1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DE0" w14:textId="72C6799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9C8D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została zakończona sukcesem</w:t>
            </w:r>
          </w:p>
          <w:p w14:paraId="513AB55F" w14:textId="77777777" w:rsidR="00D90CCF" w:rsidRDefault="00D90CCF" w:rsidP="00D90CC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B7C0BB" w14:textId="06A392E3" w:rsidR="0038459E" w:rsidRPr="00422DBD" w:rsidRDefault="00CF7D4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Wystosowano wniosek 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do COAR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 zamówienie komputerów zgodnie z umową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. Aktualnie otrzymano informację o ponad miesięcznym opóźnieniu w dostawie komputerów (desktopy oraz</w:t>
            </w:r>
            <w:r w:rsidR="00407B36">
              <w:rPr>
                <w:rFonts w:ascii="Arial" w:hAnsi="Arial" w:cs="Arial"/>
                <w:color w:val="auto"/>
                <w:sz w:val="20"/>
                <w:szCs w:val="20"/>
              </w:rPr>
              <w:t xml:space="preserve"> laptopy).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F01CD5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="00F01CD5"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</w:tbl>
    <w:bookmarkEnd w:id="1"/>
    <w:p w14:paraId="0C0DBC48" w14:textId="3F9401FB" w:rsidR="00CD1DBD" w:rsidRPr="00023D0C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023D0C">
        <w:rPr>
          <w:rFonts w:ascii="Arial" w:hAnsi="Arial" w:cs="Arial"/>
          <w:b/>
          <w:bCs/>
          <w:color w:val="000000"/>
          <w:sz w:val="20"/>
          <w:szCs w:val="20"/>
        </w:rPr>
        <w:t>Ryzyka wpływające na utrzymanie efektów projektu</w:t>
      </w:r>
    </w:p>
    <w:tbl>
      <w:tblPr>
        <w:tblW w:w="99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450"/>
        <w:gridCol w:w="2552"/>
      </w:tblGrid>
      <w:tr w:rsidR="00CD1DBD" w:rsidRPr="000C4E85" w14:paraId="2A9E4315" w14:textId="77777777" w:rsidTr="00B37E0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5FCD300" w14:textId="77777777" w:rsidR="00CD1DBD" w:rsidRPr="00023D0C" w:rsidRDefault="00CD1DBD" w:rsidP="00B658AF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</w:pPr>
            <w:r w:rsidRPr="00023D0C"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376D5B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450" w:type="dxa"/>
            <w:shd w:val="clear" w:color="auto" w:fill="D9D9D9"/>
          </w:tcPr>
          <w:p w14:paraId="1C6B2B68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66CE51C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A34D26C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1480434A" w14:textId="77777777" w:rsidR="00CD1DBD" w:rsidRPr="000C4E85" w:rsidRDefault="00CD1DBD" w:rsidP="000662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bookmarkStart w:id="2" w:name="_Hlk22931490"/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Wystąpienie błędów działania systemu nie wykrytych na etapie wdrożenia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A22C60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438D251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8D4780A" w14:textId="77777777" w:rsidR="00CD1DBD" w:rsidRPr="004C1766" w:rsidRDefault="00CD1DBD" w:rsidP="004C1766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procedur dotyczących wszechstronnych testów akceptacyjnych oraz wymóg testowania zmian na środowisku testowym / wprowadzenie procedur odtworzenia systemu oraz systematycznego tworzenia kopii zapasowych / regularne kontrole jakości systemu / audyt. Uwzględnienie potrzeby przeprowadzenia testów oraz zapewnienie </w:t>
            </w: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czasu w harmonogramie i odpowiednich zasobów do ich przeprowadzenia. Odpowiednia konstrukcja umowy z wykonawcą. Udział Audytora w czynnościach testowych.</w:t>
            </w:r>
          </w:p>
          <w:p w14:paraId="2A0DD035" w14:textId="33CD3AA4" w:rsidR="00CD1DBD" w:rsidRPr="004C1766" w:rsidRDefault="00CD1DBD" w:rsidP="004C176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produktów w projekcie poprzez zapewnienie wsparcia technicznego podczas realizacji projektu oraz w pierwszym okresie jego działania po etapie wdrożenia.</w:t>
            </w:r>
          </w:p>
          <w:p w14:paraId="6EF93A0C" w14:textId="77777777" w:rsidR="00CD1DBD" w:rsidRPr="004C1766" w:rsidRDefault="00CD1DBD" w:rsidP="004C1766">
            <w:pPr>
              <w:spacing w:after="0"/>
              <w:jc w:val="both"/>
              <w:rPr>
                <w:lang w:eastAsia="pl-PL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CD1DBD" w:rsidRPr="000C4E85" w14:paraId="341E31D5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7796104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Niechęć pracowników beneficjenta i jednostek powiązanych w stosunku do korzystania z usług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B798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3FC1BD7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68DF8B1" w14:textId="48741471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Szkolenia dla osób, które będą pracować na systemie, obejmujące zarówno kwestie techniczne, jak i merytoryczne.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 xml:space="preserve"> Beneficjent w ramach działań promocyjnych planuje także przeprowadzenie kampanii upowszechniającej wiedzę wśród użytkowników wewnętrznych o projektowanym systemie i etapach jego wdrożenia.</w:t>
            </w:r>
          </w:p>
          <w:p w14:paraId="0F8A40D9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Spodziewanymi efektami działań jest upowszechnienie wiedzy o celach projektu i zasadach jego funkcjonowania użytkownikom wewnętrznym – poprzez wskazywanie jego funkcjonalności wpływających na jakość i efektywność pracy w systemie. </w:t>
            </w:r>
          </w:p>
          <w:p w14:paraId="45E66E31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CD1DBD" w:rsidRPr="000C4E85" w14:paraId="64FEA724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56A7EAA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Niski poziomu korzystania z uruchomionych usług elektronicznych przez grupy docelowe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A01C5" w14:textId="429A46C5" w:rsidR="00CD1DBD" w:rsidRPr="00F10351" w:rsidRDefault="00B64FD6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0672BD62" w14:textId="4D73610E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</w:t>
            </w:r>
            <w:r w:rsidR="0038459E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AD811C5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Działania informacyjno-promocyjne ukierunkowane na potencjalnych klientów e-usług.</w:t>
            </w:r>
          </w:p>
          <w:p w14:paraId="3093CD0D" w14:textId="77777777" w:rsidR="00F01CD5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upowszechnienie wiedzy wśród użytkowników zewnętrznych o zasadach funkcjonowania i korzyściach</w:t>
            </w:r>
          </w:p>
          <w:p w14:paraId="4E2EA31C" w14:textId="7F35087E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wynikających z użytkowania projektowanego systemu. </w:t>
            </w:r>
          </w:p>
          <w:p w14:paraId="6E343C6A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stosunku do poprzedniego okresu sprawozdawczego pozostaje bez zmian.</w:t>
            </w:r>
          </w:p>
        </w:tc>
      </w:tr>
    </w:tbl>
    <w:bookmarkEnd w:id="2"/>
    <w:p w14:paraId="2BC3ECB7" w14:textId="5BA5C589" w:rsidR="00135B13" w:rsidRDefault="00135B13" w:rsidP="00135B13">
      <w:pPr>
        <w:spacing w:before="240" w:after="120"/>
        <w:rPr>
          <w:rFonts w:ascii="Arial" w:hAnsi="Arial" w:cs="Arial"/>
          <w:sz w:val="20"/>
          <w:szCs w:val="20"/>
        </w:rPr>
      </w:pPr>
      <w:r w:rsidRPr="00C01485">
        <w:rPr>
          <w:rFonts w:ascii="Arial" w:hAnsi="Arial" w:cs="Arial"/>
          <w:sz w:val="20"/>
          <w:szCs w:val="20"/>
        </w:rPr>
        <w:lastRenderedPageBreak/>
        <w:t xml:space="preserve">Opóźnienia w projekcie spowodowane są sytuacją pandemiczną w kraju. Większość prac jest zaplanowanych na ostatni etap projektu, który przypadł w czasie COVID-19, a co za tym idzie duży odsetek osób realizujących projekt po stronie zarówno Wykonawcy jak i Beneficjenta było nieobecnych. Beneficjent dokonał restrukturyzacji zespołu i wdrożył plan naprawczy w postaci zmiany sposobu działania wewnątrz projektu. Wdrożono stały nadzór nad Wykonawcą w postaci cyklicznych spotkań i weryfikacji postępu prac. Trudności również sprawiły kwestie prawne dotyczące przedłużenia umowy z  Inżynierem Kontraktu. </w:t>
      </w:r>
    </w:p>
    <w:p w14:paraId="296BE885" w14:textId="7A78BBF4" w:rsidR="00135B13" w:rsidRDefault="00480D1E" w:rsidP="00480D1E">
      <w:pPr>
        <w:spacing w:after="0" w:line="240" w:lineRule="auto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Realizacja projektu została zakończona sukcesem</w:t>
      </w:r>
    </w:p>
    <w:p w14:paraId="185EFB01" w14:textId="21F0AEBA" w:rsidR="00CD1DBD" w:rsidRPr="00B24BA7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  <w:r w:rsidRPr="00B24BA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5F180475" w14:textId="1B5C1206" w:rsidR="00CD1DBD" w:rsidRDefault="00CD1DBD" w:rsidP="00C87C9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C87C99"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.</w:t>
      </w:r>
    </w:p>
    <w:p w14:paraId="14B8F36A" w14:textId="77777777" w:rsidR="00CD1DBD" w:rsidRPr="002B5F81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Fonts w:ascii="Arial" w:hAnsi="Arial" w:cs="Arial"/>
        </w:rPr>
      </w:pPr>
      <w:r w:rsidRPr="002B5F8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</w:p>
    <w:p w14:paraId="67A0DED2" w14:textId="45AF9258" w:rsidR="00FD59A5" w:rsidRPr="00FD59A5" w:rsidRDefault="007E60AF" w:rsidP="00FD59A5">
      <w:pPr>
        <w:spacing w:before="360" w:after="0"/>
        <w:jc w:val="both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color w:val="auto"/>
          <w:sz w:val="20"/>
          <w:szCs w:val="20"/>
        </w:rPr>
        <w:t>Agata Kerner</w:t>
      </w:r>
      <w:r w:rsidR="00FD59A5"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–</w:t>
      </w:r>
      <w:r w:rsidR="00FD59A5" w:rsidRPr="00FD59A5">
        <w:rPr>
          <w:rFonts w:ascii="Arial" w:hAnsi="Arial" w:cs="Arial"/>
          <w:sz w:val="20"/>
          <w:szCs w:val="20"/>
        </w:rPr>
        <w:t xml:space="preserve"> Departament Innowacji i Rozwoju GUM</w:t>
      </w:r>
    </w:p>
    <w:p w14:paraId="2190FDFA" w14:textId="5FF027D2" w:rsidR="00FD59A5" w:rsidRPr="00E8773C" w:rsidRDefault="00FD59A5" w:rsidP="00FD59A5">
      <w:pPr>
        <w:jc w:val="both"/>
        <w:rPr>
          <w:rFonts w:ascii="Arial" w:hAnsi="Arial" w:cs="Arial"/>
          <w:sz w:val="20"/>
          <w:szCs w:val="20"/>
        </w:rPr>
      </w:pPr>
      <w:r w:rsidRPr="00E8773C">
        <w:rPr>
          <w:rStyle w:val="Nagwek2Znak"/>
          <w:rFonts w:ascii="Arial" w:hAnsi="Arial" w:cs="Arial"/>
          <w:color w:val="auto"/>
          <w:sz w:val="20"/>
          <w:szCs w:val="20"/>
        </w:rPr>
        <w:t>e-</w:t>
      </w:r>
      <w:r w:rsidRPr="00E8773C">
        <w:rPr>
          <w:rFonts w:ascii="Arial" w:hAnsi="Arial" w:cs="Arial"/>
          <w:sz w:val="20"/>
          <w:szCs w:val="20"/>
        </w:rPr>
        <w:t xml:space="preserve">mail: </w:t>
      </w:r>
      <w:hyperlink r:id="rId11" w:history="1">
        <w:r w:rsidR="002C6CD8" w:rsidRPr="00E8773C">
          <w:rPr>
            <w:rStyle w:val="Hipercze"/>
            <w:rFonts w:ascii="Arial" w:hAnsi="Arial" w:cs="Arial"/>
            <w:sz w:val="20"/>
            <w:szCs w:val="20"/>
          </w:rPr>
          <w:t>agata.kerner@gum.gov.pl</w:t>
        </w:r>
      </w:hyperlink>
    </w:p>
    <w:p w14:paraId="6647FB76" w14:textId="6F6DF12A" w:rsidR="0071433A" w:rsidRPr="00FD59A5" w:rsidRDefault="0071433A" w:rsidP="00FD59A5">
      <w:pPr>
        <w:spacing w:before="360" w:after="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>Alicja Humanicka – Departament Innowacji i Rozwoju GUM</w:t>
      </w:r>
    </w:p>
    <w:p w14:paraId="67C9D071" w14:textId="237A5DD0" w:rsidR="0071433A" w:rsidRPr="00FD59A5" w:rsidRDefault="0071433A" w:rsidP="00FD59A5">
      <w:pPr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e-mail: </w:t>
      </w:r>
      <w:hyperlink r:id="rId12" w:history="1">
        <w:r w:rsidRPr="00FD59A5">
          <w:rPr>
            <w:rStyle w:val="Hipercze"/>
            <w:rFonts w:ascii="Arial" w:hAnsi="Arial" w:cs="Arial"/>
            <w:sz w:val="20"/>
            <w:szCs w:val="20"/>
          </w:rPr>
          <w:t>alicja.humanicka@gum.gov.pl</w:t>
        </w:r>
      </w:hyperlink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</w:p>
    <w:p w14:paraId="3DDE92A0" w14:textId="3F11F500" w:rsidR="00CD1DBD" w:rsidRPr="00D920B0" w:rsidRDefault="00CD1DBD" w:rsidP="00D920B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sectPr w:rsidR="00CD1DBD" w:rsidRPr="00D920B0" w:rsidSect="00DB7734">
      <w:footerReference w:type="default" r:id="rId13"/>
      <w:pgSz w:w="11906" w:h="16838"/>
      <w:pgMar w:top="1135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362C5" w14:textId="77777777" w:rsidR="002C6C22" w:rsidRDefault="002C6C22" w:rsidP="00BB2420">
      <w:pPr>
        <w:spacing w:after="0" w:line="240" w:lineRule="auto"/>
      </w:pPr>
      <w:r>
        <w:separator/>
      </w:r>
    </w:p>
  </w:endnote>
  <w:endnote w:type="continuationSeparator" w:id="0">
    <w:p w14:paraId="3716D1FF" w14:textId="77777777" w:rsidR="002C6C22" w:rsidRDefault="002C6C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EA70" w14:textId="77777777" w:rsidR="00CD1DBD" w:rsidRDefault="00CD1DB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8B3C50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z </w:t>
    </w:r>
    <w:r w:rsidRPr="003552D0">
      <w:rPr>
        <w:b/>
        <w:bCs/>
      </w:rPr>
      <w:fldChar w:fldCharType="begin"/>
    </w:r>
    <w:r w:rsidRPr="003552D0">
      <w:rPr>
        <w:b/>
        <w:bCs/>
      </w:rPr>
      <w:instrText xml:space="preserve"> NUMPAGES  </w:instrText>
    </w:r>
    <w:r w:rsidRPr="003552D0">
      <w:rPr>
        <w:b/>
        <w:bCs/>
      </w:rPr>
      <w:fldChar w:fldCharType="separate"/>
    </w:r>
    <w:r w:rsidR="008B3C50">
      <w:rPr>
        <w:b/>
        <w:bCs/>
        <w:noProof/>
      </w:rPr>
      <w:t>11</w:t>
    </w:r>
    <w:r w:rsidRPr="003552D0">
      <w:rPr>
        <w:b/>
        <w:bCs/>
      </w:rPr>
      <w:fldChar w:fldCharType="end"/>
    </w:r>
  </w:p>
  <w:p w14:paraId="3A88897A" w14:textId="77777777" w:rsidR="00CD1DBD" w:rsidRDefault="00CD1D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8DA2" w14:textId="77777777" w:rsidR="002C6C22" w:rsidRDefault="002C6C22" w:rsidP="00BB2420">
      <w:pPr>
        <w:spacing w:after="0" w:line="240" w:lineRule="auto"/>
      </w:pPr>
      <w:r>
        <w:separator/>
      </w:r>
    </w:p>
  </w:footnote>
  <w:footnote w:type="continuationSeparator" w:id="0">
    <w:p w14:paraId="2AFC169E" w14:textId="77777777" w:rsidR="002C6C22" w:rsidRDefault="002C6C22" w:rsidP="00BB2420">
      <w:pPr>
        <w:spacing w:after="0" w:line="240" w:lineRule="auto"/>
      </w:pPr>
      <w:r>
        <w:continuationSeparator/>
      </w:r>
    </w:p>
  </w:footnote>
  <w:footnote w:id="1">
    <w:p w14:paraId="0405AFFF" w14:textId="77777777" w:rsidR="00B37E08" w:rsidRDefault="00B37E08" w:rsidP="00B37E08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409D10B" w14:textId="77777777" w:rsidR="00CD1DBD" w:rsidRDefault="00CD1D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23F"/>
    <w:multiLevelType w:val="hybridMultilevel"/>
    <w:tmpl w:val="C49C45C2"/>
    <w:lvl w:ilvl="0" w:tplc="76E46D6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0A12B7C"/>
    <w:multiLevelType w:val="hybridMultilevel"/>
    <w:tmpl w:val="422AD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A4C4E"/>
    <w:multiLevelType w:val="hybridMultilevel"/>
    <w:tmpl w:val="0A8E6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E31932"/>
    <w:multiLevelType w:val="hybridMultilevel"/>
    <w:tmpl w:val="D7C65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9E7D3A"/>
    <w:multiLevelType w:val="hybridMultilevel"/>
    <w:tmpl w:val="CC2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D35F8"/>
    <w:multiLevelType w:val="hybridMultilevel"/>
    <w:tmpl w:val="43A22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5B3505"/>
    <w:multiLevelType w:val="hybridMultilevel"/>
    <w:tmpl w:val="50A6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8"/>
  </w:num>
  <w:num w:numId="17">
    <w:abstractNumId w:val="15"/>
  </w:num>
  <w:num w:numId="18">
    <w:abstractNumId w:val="14"/>
  </w:num>
  <w:num w:numId="19">
    <w:abstractNumId w:val="10"/>
  </w:num>
  <w:num w:numId="20">
    <w:abstractNumId w:val="24"/>
  </w:num>
  <w:num w:numId="21">
    <w:abstractNumId w:val="20"/>
  </w:num>
  <w:num w:numId="22">
    <w:abstractNumId w:val="11"/>
  </w:num>
  <w:num w:numId="23">
    <w:abstractNumId w:val="13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DCE"/>
    <w:rsid w:val="00006E59"/>
    <w:rsid w:val="000075F7"/>
    <w:rsid w:val="00016BDC"/>
    <w:rsid w:val="000221B9"/>
    <w:rsid w:val="00023D0C"/>
    <w:rsid w:val="00030613"/>
    <w:rsid w:val="00030B42"/>
    <w:rsid w:val="000352A0"/>
    <w:rsid w:val="0003578B"/>
    <w:rsid w:val="00041972"/>
    <w:rsid w:val="00043DD9"/>
    <w:rsid w:val="00043FE4"/>
    <w:rsid w:val="00044D68"/>
    <w:rsid w:val="00047D9D"/>
    <w:rsid w:val="000500E4"/>
    <w:rsid w:val="0005414E"/>
    <w:rsid w:val="00065758"/>
    <w:rsid w:val="00066202"/>
    <w:rsid w:val="00070663"/>
    <w:rsid w:val="00071B2F"/>
    <w:rsid w:val="00084E5B"/>
    <w:rsid w:val="00087231"/>
    <w:rsid w:val="00095944"/>
    <w:rsid w:val="000A1DFB"/>
    <w:rsid w:val="000A2F32"/>
    <w:rsid w:val="000A3938"/>
    <w:rsid w:val="000B04C7"/>
    <w:rsid w:val="000B3E49"/>
    <w:rsid w:val="000B3E66"/>
    <w:rsid w:val="000B4DB6"/>
    <w:rsid w:val="000B6E1A"/>
    <w:rsid w:val="000C4E85"/>
    <w:rsid w:val="000C51A5"/>
    <w:rsid w:val="000D5131"/>
    <w:rsid w:val="000D5BCF"/>
    <w:rsid w:val="000D6474"/>
    <w:rsid w:val="000E0060"/>
    <w:rsid w:val="000E1828"/>
    <w:rsid w:val="000E3FCD"/>
    <w:rsid w:val="000E4BF8"/>
    <w:rsid w:val="000E7802"/>
    <w:rsid w:val="000E79B2"/>
    <w:rsid w:val="000F11F6"/>
    <w:rsid w:val="000F20A9"/>
    <w:rsid w:val="000F307B"/>
    <w:rsid w:val="000F30B9"/>
    <w:rsid w:val="000F6268"/>
    <w:rsid w:val="00100AD1"/>
    <w:rsid w:val="00102B99"/>
    <w:rsid w:val="001041A3"/>
    <w:rsid w:val="0011152C"/>
    <w:rsid w:val="001122CA"/>
    <w:rsid w:val="0011693F"/>
    <w:rsid w:val="00122388"/>
    <w:rsid w:val="00124C3D"/>
    <w:rsid w:val="00125882"/>
    <w:rsid w:val="0012667B"/>
    <w:rsid w:val="00135B13"/>
    <w:rsid w:val="00141A92"/>
    <w:rsid w:val="00145E84"/>
    <w:rsid w:val="00147EAF"/>
    <w:rsid w:val="0015102C"/>
    <w:rsid w:val="0016679C"/>
    <w:rsid w:val="00174BD3"/>
    <w:rsid w:val="00176FBB"/>
    <w:rsid w:val="00177A4A"/>
    <w:rsid w:val="00180FEC"/>
    <w:rsid w:val="00181E97"/>
    <w:rsid w:val="00182A08"/>
    <w:rsid w:val="001841E8"/>
    <w:rsid w:val="00187FD2"/>
    <w:rsid w:val="00190659"/>
    <w:rsid w:val="001935D4"/>
    <w:rsid w:val="001968BD"/>
    <w:rsid w:val="001A2EF2"/>
    <w:rsid w:val="001B2826"/>
    <w:rsid w:val="001B7579"/>
    <w:rsid w:val="001C0DF1"/>
    <w:rsid w:val="001C2D74"/>
    <w:rsid w:val="001C7CC3"/>
    <w:rsid w:val="001C7FAC"/>
    <w:rsid w:val="001D070D"/>
    <w:rsid w:val="001E0CAC"/>
    <w:rsid w:val="001E1452"/>
    <w:rsid w:val="001E16A3"/>
    <w:rsid w:val="001E1DEA"/>
    <w:rsid w:val="001E7199"/>
    <w:rsid w:val="001E7597"/>
    <w:rsid w:val="001F19B6"/>
    <w:rsid w:val="001F231B"/>
    <w:rsid w:val="001F24A0"/>
    <w:rsid w:val="001F2E20"/>
    <w:rsid w:val="001F67EC"/>
    <w:rsid w:val="001F7904"/>
    <w:rsid w:val="00202E79"/>
    <w:rsid w:val="0020330A"/>
    <w:rsid w:val="00204C5B"/>
    <w:rsid w:val="00210DDE"/>
    <w:rsid w:val="002144E8"/>
    <w:rsid w:val="00214C42"/>
    <w:rsid w:val="00224683"/>
    <w:rsid w:val="002246FF"/>
    <w:rsid w:val="00227856"/>
    <w:rsid w:val="00232E4D"/>
    <w:rsid w:val="00237279"/>
    <w:rsid w:val="0023798A"/>
    <w:rsid w:val="00240434"/>
    <w:rsid w:val="00240D69"/>
    <w:rsid w:val="00241B5E"/>
    <w:rsid w:val="00252087"/>
    <w:rsid w:val="002532E0"/>
    <w:rsid w:val="00253546"/>
    <w:rsid w:val="00254657"/>
    <w:rsid w:val="002556F6"/>
    <w:rsid w:val="002714AA"/>
    <w:rsid w:val="002740E1"/>
    <w:rsid w:val="00275421"/>
    <w:rsid w:val="00276C00"/>
    <w:rsid w:val="002A0BDD"/>
    <w:rsid w:val="002A3C02"/>
    <w:rsid w:val="002A5452"/>
    <w:rsid w:val="002B3C20"/>
    <w:rsid w:val="002B4889"/>
    <w:rsid w:val="002B50C0"/>
    <w:rsid w:val="002B5F81"/>
    <w:rsid w:val="002B6F21"/>
    <w:rsid w:val="002C1B1C"/>
    <w:rsid w:val="002C6C22"/>
    <w:rsid w:val="002C6CD8"/>
    <w:rsid w:val="002C7051"/>
    <w:rsid w:val="002D23DA"/>
    <w:rsid w:val="002D3D4A"/>
    <w:rsid w:val="002D61BA"/>
    <w:rsid w:val="002D7ADA"/>
    <w:rsid w:val="002E0181"/>
    <w:rsid w:val="002E50BB"/>
    <w:rsid w:val="002F0A74"/>
    <w:rsid w:val="002F33D8"/>
    <w:rsid w:val="003010C3"/>
    <w:rsid w:val="0030196F"/>
    <w:rsid w:val="00302775"/>
    <w:rsid w:val="00304D04"/>
    <w:rsid w:val="00310D8E"/>
    <w:rsid w:val="00313599"/>
    <w:rsid w:val="00314A3E"/>
    <w:rsid w:val="00315BC8"/>
    <w:rsid w:val="003221F2"/>
    <w:rsid w:val="00322614"/>
    <w:rsid w:val="00333D18"/>
    <w:rsid w:val="00334A24"/>
    <w:rsid w:val="003410FE"/>
    <w:rsid w:val="0034727B"/>
    <w:rsid w:val="003508E7"/>
    <w:rsid w:val="003542F1"/>
    <w:rsid w:val="003552D0"/>
    <w:rsid w:val="00356A3E"/>
    <w:rsid w:val="003635D1"/>
    <w:rsid w:val="003642B8"/>
    <w:rsid w:val="003663C5"/>
    <w:rsid w:val="00367909"/>
    <w:rsid w:val="00373AFD"/>
    <w:rsid w:val="00374EC2"/>
    <w:rsid w:val="003774B5"/>
    <w:rsid w:val="003825DF"/>
    <w:rsid w:val="0038459E"/>
    <w:rsid w:val="00387471"/>
    <w:rsid w:val="003A2277"/>
    <w:rsid w:val="003A2CFE"/>
    <w:rsid w:val="003A33CF"/>
    <w:rsid w:val="003A4115"/>
    <w:rsid w:val="003A4D63"/>
    <w:rsid w:val="003B5B7A"/>
    <w:rsid w:val="003C1ED7"/>
    <w:rsid w:val="003C3EE6"/>
    <w:rsid w:val="003C7325"/>
    <w:rsid w:val="003D6C3B"/>
    <w:rsid w:val="003D7DD0"/>
    <w:rsid w:val="003E3144"/>
    <w:rsid w:val="003E78E5"/>
    <w:rsid w:val="00400C12"/>
    <w:rsid w:val="00400F39"/>
    <w:rsid w:val="0040242E"/>
    <w:rsid w:val="00405EA4"/>
    <w:rsid w:val="00406222"/>
    <w:rsid w:val="00406B41"/>
    <w:rsid w:val="00407B36"/>
    <w:rsid w:val="0041034F"/>
    <w:rsid w:val="00410BD4"/>
    <w:rsid w:val="004118A3"/>
    <w:rsid w:val="00422DBD"/>
    <w:rsid w:val="00423A26"/>
    <w:rsid w:val="00425046"/>
    <w:rsid w:val="004254DA"/>
    <w:rsid w:val="004350B8"/>
    <w:rsid w:val="00442B48"/>
    <w:rsid w:val="00444678"/>
    <w:rsid w:val="00444AAB"/>
    <w:rsid w:val="00445572"/>
    <w:rsid w:val="00447A7C"/>
    <w:rsid w:val="00450089"/>
    <w:rsid w:val="00461110"/>
    <w:rsid w:val="004662EA"/>
    <w:rsid w:val="00466B42"/>
    <w:rsid w:val="00472CD9"/>
    <w:rsid w:val="00474506"/>
    <w:rsid w:val="00476475"/>
    <w:rsid w:val="00480D1E"/>
    <w:rsid w:val="00481768"/>
    <w:rsid w:val="004818F7"/>
    <w:rsid w:val="00487FDB"/>
    <w:rsid w:val="00496A46"/>
    <w:rsid w:val="004B2AC6"/>
    <w:rsid w:val="004B541B"/>
    <w:rsid w:val="004B6823"/>
    <w:rsid w:val="004C1766"/>
    <w:rsid w:val="004C1C64"/>
    <w:rsid w:val="004C1D48"/>
    <w:rsid w:val="004C41E6"/>
    <w:rsid w:val="004D65CA"/>
    <w:rsid w:val="004F5EAC"/>
    <w:rsid w:val="004F6E89"/>
    <w:rsid w:val="00517F12"/>
    <w:rsid w:val="0052102C"/>
    <w:rsid w:val="00524E6C"/>
    <w:rsid w:val="00527F19"/>
    <w:rsid w:val="00530B36"/>
    <w:rsid w:val="005332D6"/>
    <w:rsid w:val="00544DFE"/>
    <w:rsid w:val="00554403"/>
    <w:rsid w:val="00555782"/>
    <w:rsid w:val="00565424"/>
    <w:rsid w:val="005734CE"/>
    <w:rsid w:val="00574560"/>
    <w:rsid w:val="00577B01"/>
    <w:rsid w:val="00586664"/>
    <w:rsid w:val="00593290"/>
    <w:rsid w:val="005A12F7"/>
    <w:rsid w:val="005A1B30"/>
    <w:rsid w:val="005B0D04"/>
    <w:rsid w:val="005B183E"/>
    <w:rsid w:val="005B1A32"/>
    <w:rsid w:val="005C0469"/>
    <w:rsid w:val="005C0F05"/>
    <w:rsid w:val="005C1053"/>
    <w:rsid w:val="005C2364"/>
    <w:rsid w:val="005C6116"/>
    <w:rsid w:val="005C77BB"/>
    <w:rsid w:val="005D0D3F"/>
    <w:rsid w:val="005D17CF"/>
    <w:rsid w:val="005D339B"/>
    <w:rsid w:val="005D38D0"/>
    <w:rsid w:val="005D5AAB"/>
    <w:rsid w:val="005D6E12"/>
    <w:rsid w:val="005E050D"/>
    <w:rsid w:val="005E0ED8"/>
    <w:rsid w:val="005E2E5A"/>
    <w:rsid w:val="005E320D"/>
    <w:rsid w:val="005E6ABD"/>
    <w:rsid w:val="005E72D2"/>
    <w:rsid w:val="005F1797"/>
    <w:rsid w:val="005F3FA1"/>
    <w:rsid w:val="005F41FA"/>
    <w:rsid w:val="0060034B"/>
    <w:rsid w:val="00600AE4"/>
    <w:rsid w:val="00601005"/>
    <w:rsid w:val="006052D5"/>
    <w:rsid w:val="006054AA"/>
    <w:rsid w:val="006169B0"/>
    <w:rsid w:val="00616AA2"/>
    <w:rsid w:val="0061724A"/>
    <w:rsid w:val="0062054D"/>
    <w:rsid w:val="00620BA1"/>
    <w:rsid w:val="00626EE8"/>
    <w:rsid w:val="00632F84"/>
    <w:rsid w:val="006334BF"/>
    <w:rsid w:val="00635A54"/>
    <w:rsid w:val="00636414"/>
    <w:rsid w:val="006445C9"/>
    <w:rsid w:val="00646343"/>
    <w:rsid w:val="006509DD"/>
    <w:rsid w:val="00654117"/>
    <w:rsid w:val="00660E92"/>
    <w:rsid w:val="00661A62"/>
    <w:rsid w:val="006626F8"/>
    <w:rsid w:val="00664D49"/>
    <w:rsid w:val="006659C4"/>
    <w:rsid w:val="00667C66"/>
    <w:rsid w:val="006708E6"/>
    <w:rsid w:val="0067147C"/>
    <w:rsid w:val="006731D9"/>
    <w:rsid w:val="006748B7"/>
    <w:rsid w:val="006764AB"/>
    <w:rsid w:val="0068074F"/>
    <w:rsid w:val="006822BC"/>
    <w:rsid w:val="006906A9"/>
    <w:rsid w:val="006A60AA"/>
    <w:rsid w:val="006B034F"/>
    <w:rsid w:val="006B2423"/>
    <w:rsid w:val="006B5117"/>
    <w:rsid w:val="006B7A8B"/>
    <w:rsid w:val="006C2BD9"/>
    <w:rsid w:val="006C6454"/>
    <w:rsid w:val="006C71DD"/>
    <w:rsid w:val="006C7467"/>
    <w:rsid w:val="006D2460"/>
    <w:rsid w:val="006E0CFA"/>
    <w:rsid w:val="006E1E16"/>
    <w:rsid w:val="006E6205"/>
    <w:rsid w:val="006F0066"/>
    <w:rsid w:val="006F3616"/>
    <w:rsid w:val="00701800"/>
    <w:rsid w:val="0070257A"/>
    <w:rsid w:val="007051C4"/>
    <w:rsid w:val="00707C67"/>
    <w:rsid w:val="00712549"/>
    <w:rsid w:val="007140D8"/>
    <w:rsid w:val="0071433A"/>
    <w:rsid w:val="00717879"/>
    <w:rsid w:val="00721977"/>
    <w:rsid w:val="00725708"/>
    <w:rsid w:val="00731A3D"/>
    <w:rsid w:val="007330EC"/>
    <w:rsid w:val="00740A47"/>
    <w:rsid w:val="00746ABD"/>
    <w:rsid w:val="00756B9E"/>
    <w:rsid w:val="00761DF5"/>
    <w:rsid w:val="00771BCC"/>
    <w:rsid w:val="00772DF2"/>
    <w:rsid w:val="0077418F"/>
    <w:rsid w:val="00775514"/>
    <w:rsid w:val="00775C44"/>
    <w:rsid w:val="007924CE"/>
    <w:rsid w:val="00792895"/>
    <w:rsid w:val="00795639"/>
    <w:rsid w:val="00795AFA"/>
    <w:rsid w:val="007A4742"/>
    <w:rsid w:val="007A5CE8"/>
    <w:rsid w:val="007A735B"/>
    <w:rsid w:val="007B0251"/>
    <w:rsid w:val="007B0541"/>
    <w:rsid w:val="007B0768"/>
    <w:rsid w:val="007B173D"/>
    <w:rsid w:val="007B3846"/>
    <w:rsid w:val="007C2F7E"/>
    <w:rsid w:val="007C6235"/>
    <w:rsid w:val="007C6A29"/>
    <w:rsid w:val="007C77DB"/>
    <w:rsid w:val="007C793C"/>
    <w:rsid w:val="007D1640"/>
    <w:rsid w:val="007D1990"/>
    <w:rsid w:val="007D2C34"/>
    <w:rsid w:val="007D38BD"/>
    <w:rsid w:val="007D3F21"/>
    <w:rsid w:val="007E341A"/>
    <w:rsid w:val="007E45EE"/>
    <w:rsid w:val="007E56AA"/>
    <w:rsid w:val="007E60AF"/>
    <w:rsid w:val="007F126F"/>
    <w:rsid w:val="00806134"/>
    <w:rsid w:val="0081036C"/>
    <w:rsid w:val="008117ED"/>
    <w:rsid w:val="008207BC"/>
    <w:rsid w:val="00823C7E"/>
    <w:rsid w:val="00827F5A"/>
    <w:rsid w:val="00830B70"/>
    <w:rsid w:val="0083248F"/>
    <w:rsid w:val="00837277"/>
    <w:rsid w:val="00840749"/>
    <w:rsid w:val="00856793"/>
    <w:rsid w:val="00857837"/>
    <w:rsid w:val="008648FB"/>
    <w:rsid w:val="008654C2"/>
    <w:rsid w:val="00866490"/>
    <w:rsid w:val="00872A45"/>
    <w:rsid w:val="0087452F"/>
    <w:rsid w:val="00875528"/>
    <w:rsid w:val="008812C3"/>
    <w:rsid w:val="00883C16"/>
    <w:rsid w:val="00884686"/>
    <w:rsid w:val="00884763"/>
    <w:rsid w:val="008858CF"/>
    <w:rsid w:val="00892372"/>
    <w:rsid w:val="008A1409"/>
    <w:rsid w:val="008A332F"/>
    <w:rsid w:val="008A52F6"/>
    <w:rsid w:val="008B3C50"/>
    <w:rsid w:val="008C4BCD"/>
    <w:rsid w:val="008C6721"/>
    <w:rsid w:val="008D3826"/>
    <w:rsid w:val="008D7031"/>
    <w:rsid w:val="008E3B29"/>
    <w:rsid w:val="008E3D38"/>
    <w:rsid w:val="008E55D9"/>
    <w:rsid w:val="008E7161"/>
    <w:rsid w:val="008F2D9B"/>
    <w:rsid w:val="0090157A"/>
    <w:rsid w:val="0090597A"/>
    <w:rsid w:val="00907D02"/>
    <w:rsid w:val="00907F6D"/>
    <w:rsid w:val="00911190"/>
    <w:rsid w:val="0091127A"/>
    <w:rsid w:val="0091255D"/>
    <w:rsid w:val="0091332C"/>
    <w:rsid w:val="00925351"/>
    <w:rsid w:val="009256F2"/>
    <w:rsid w:val="0092787C"/>
    <w:rsid w:val="00933BEC"/>
    <w:rsid w:val="00936729"/>
    <w:rsid w:val="00946076"/>
    <w:rsid w:val="00946BD5"/>
    <w:rsid w:val="009470F0"/>
    <w:rsid w:val="0095183B"/>
    <w:rsid w:val="00952126"/>
    <w:rsid w:val="00952617"/>
    <w:rsid w:val="00953A4B"/>
    <w:rsid w:val="009610FA"/>
    <w:rsid w:val="009663A6"/>
    <w:rsid w:val="00971A40"/>
    <w:rsid w:val="00971B2C"/>
    <w:rsid w:val="009726C8"/>
    <w:rsid w:val="0097451A"/>
    <w:rsid w:val="009751C2"/>
    <w:rsid w:val="00976434"/>
    <w:rsid w:val="00987AE3"/>
    <w:rsid w:val="00992EA3"/>
    <w:rsid w:val="009967CA"/>
    <w:rsid w:val="009A17FF"/>
    <w:rsid w:val="009A69C4"/>
    <w:rsid w:val="009B4423"/>
    <w:rsid w:val="009B4E85"/>
    <w:rsid w:val="009B76FB"/>
    <w:rsid w:val="009C4BDC"/>
    <w:rsid w:val="009C6140"/>
    <w:rsid w:val="009C6C88"/>
    <w:rsid w:val="009D2FA4"/>
    <w:rsid w:val="009D6F83"/>
    <w:rsid w:val="009D7D8A"/>
    <w:rsid w:val="009E4C67"/>
    <w:rsid w:val="009E7907"/>
    <w:rsid w:val="009E7BF1"/>
    <w:rsid w:val="009F09BF"/>
    <w:rsid w:val="009F0D77"/>
    <w:rsid w:val="009F1B40"/>
    <w:rsid w:val="009F1DC8"/>
    <w:rsid w:val="009F26D7"/>
    <w:rsid w:val="009F41B2"/>
    <w:rsid w:val="009F437E"/>
    <w:rsid w:val="009F66A8"/>
    <w:rsid w:val="009F76CB"/>
    <w:rsid w:val="00A07ECF"/>
    <w:rsid w:val="00A10512"/>
    <w:rsid w:val="00A11788"/>
    <w:rsid w:val="00A15E7C"/>
    <w:rsid w:val="00A160AA"/>
    <w:rsid w:val="00A17CFE"/>
    <w:rsid w:val="00A30847"/>
    <w:rsid w:val="00A36AE2"/>
    <w:rsid w:val="00A37F46"/>
    <w:rsid w:val="00A426EE"/>
    <w:rsid w:val="00A43B4F"/>
    <w:rsid w:val="00A43E49"/>
    <w:rsid w:val="00A44EA2"/>
    <w:rsid w:val="00A51935"/>
    <w:rsid w:val="00A52015"/>
    <w:rsid w:val="00A56A12"/>
    <w:rsid w:val="00A56D63"/>
    <w:rsid w:val="00A60683"/>
    <w:rsid w:val="00A627F2"/>
    <w:rsid w:val="00A64137"/>
    <w:rsid w:val="00A67685"/>
    <w:rsid w:val="00A70643"/>
    <w:rsid w:val="00A728AE"/>
    <w:rsid w:val="00A7303C"/>
    <w:rsid w:val="00A804AE"/>
    <w:rsid w:val="00A86449"/>
    <w:rsid w:val="00A87C1C"/>
    <w:rsid w:val="00A90694"/>
    <w:rsid w:val="00A93B33"/>
    <w:rsid w:val="00A9422C"/>
    <w:rsid w:val="00AA46ED"/>
    <w:rsid w:val="00AA4CAB"/>
    <w:rsid w:val="00AA51AD"/>
    <w:rsid w:val="00AA6F89"/>
    <w:rsid w:val="00AB1281"/>
    <w:rsid w:val="00AB2A7E"/>
    <w:rsid w:val="00AB2E01"/>
    <w:rsid w:val="00AB5FE5"/>
    <w:rsid w:val="00AC2491"/>
    <w:rsid w:val="00AC6AD3"/>
    <w:rsid w:val="00AC7E26"/>
    <w:rsid w:val="00AD0254"/>
    <w:rsid w:val="00AD45BB"/>
    <w:rsid w:val="00AE1643"/>
    <w:rsid w:val="00AE2E65"/>
    <w:rsid w:val="00AE3A6C"/>
    <w:rsid w:val="00AE72D1"/>
    <w:rsid w:val="00AF0969"/>
    <w:rsid w:val="00AF09B8"/>
    <w:rsid w:val="00AF567D"/>
    <w:rsid w:val="00AF7A03"/>
    <w:rsid w:val="00B01C16"/>
    <w:rsid w:val="00B033F7"/>
    <w:rsid w:val="00B11EDD"/>
    <w:rsid w:val="00B16EDE"/>
    <w:rsid w:val="00B175B4"/>
    <w:rsid w:val="00B17709"/>
    <w:rsid w:val="00B24BA7"/>
    <w:rsid w:val="00B25211"/>
    <w:rsid w:val="00B3277E"/>
    <w:rsid w:val="00B33234"/>
    <w:rsid w:val="00B37475"/>
    <w:rsid w:val="00B37E08"/>
    <w:rsid w:val="00B4048C"/>
    <w:rsid w:val="00B41415"/>
    <w:rsid w:val="00B440C3"/>
    <w:rsid w:val="00B46293"/>
    <w:rsid w:val="00B50560"/>
    <w:rsid w:val="00B50737"/>
    <w:rsid w:val="00B634D8"/>
    <w:rsid w:val="00B63E7F"/>
    <w:rsid w:val="00B64B3C"/>
    <w:rsid w:val="00B64FD6"/>
    <w:rsid w:val="00B658AF"/>
    <w:rsid w:val="00B673C6"/>
    <w:rsid w:val="00B74859"/>
    <w:rsid w:val="00B752F0"/>
    <w:rsid w:val="00B820D5"/>
    <w:rsid w:val="00B847C1"/>
    <w:rsid w:val="00B87D3D"/>
    <w:rsid w:val="00B96411"/>
    <w:rsid w:val="00B971AB"/>
    <w:rsid w:val="00BA1A5C"/>
    <w:rsid w:val="00BA315A"/>
    <w:rsid w:val="00BA481C"/>
    <w:rsid w:val="00BA503A"/>
    <w:rsid w:val="00BA568E"/>
    <w:rsid w:val="00BA6DDF"/>
    <w:rsid w:val="00BB059E"/>
    <w:rsid w:val="00BB2420"/>
    <w:rsid w:val="00BB2A51"/>
    <w:rsid w:val="00BB3286"/>
    <w:rsid w:val="00BB5ACE"/>
    <w:rsid w:val="00BC1BD2"/>
    <w:rsid w:val="00BC2C57"/>
    <w:rsid w:val="00BC36E7"/>
    <w:rsid w:val="00BC6BE4"/>
    <w:rsid w:val="00BD5A80"/>
    <w:rsid w:val="00BD649F"/>
    <w:rsid w:val="00BD7FAA"/>
    <w:rsid w:val="00BE47CD"/>
    <w:rsid w:val="00BE566B"/>
    <w:rsid w:val="00BE5BF9"/>
    <w:rsid w:val="00C01485"/>
    <w:rsid w:val="00C0422D"/>
    <w:rsid w:val="00C0758B"/>
    <w:rsid w:val="00C1079D"/>
    <w:rsid w:val="00C1106C"/>
    <w:rsid w:val="00C26361"/>
    <w:rsid w:val="00C302F1"/>
    <w:rsid w:val="00C36D4A"/>
    <w:rsid w:val="00C40A91"/>
    <w:rsid w:val="00C42AEA"/>
    <w:rsid w:val="00C50883"/>
    <w:rsid w:val="00C57985"/>
    <w:rsid w:val="00C60DB7"/>
    <w:rsid w:val="00C65421"/>
    <w:rsid w:val="00C6751B"/>
    <w:rsid w:val="00C7226A"/>
    <w:rsid w:val="00C734EA"/>
    <w:rsid w:val="00C735A7"/>
    <w:rsid w:val="00C76A02"/>
    <w:rsid w:val="00C81012"/>
    <w:rsid w:val="00C87C99"/>
    <w:rsid w:val="00C9086B"/>
    <w:rsid w:val="00C92A0D"/>
    <w:rsid w:val="00CA12C6"/>
    <w:rsid w:val="00CA516B"/>
    <w:rsid w:val="00CA7A62"/>
    <w:rsid w:val="00CB3700"/>
    <w:rsid w:val="00CB50DB"/>
    <w:rsid w:val="00CB5849"/>
    <w:rsid w:val="00CC0337"/>
    <w:rsid w:val="00CC384F"/>
    <w:rsid w:val="00CC48E8"/>
    <w:rsid w:val="00CC577D"/>
    <w:rsid w:val="00CC7E21"/>
    <w:rsid w:val="00CD1DBD"/>
    <w:rsid w:val="00CE3E6B"/>
    <w:rsid w:val="00CE74F9"/>
    <w:rsid w:val="00CE7777"/>
    <w:rsid w:val="00CF2E64"/>
    <w:rsid w:val="00CF45B0"/>
    <w:rsid w:val="00CF48A6"/>
    <w:rsid w:val="00CF6256"/>
    <w:rsid w:val="00CF7D4E"/>
    <w:rsid w:val="00D02F54"/>
    <w:rsid w:val="00D13B4C"/>
    <w:rsid w:val="00D21595"/>
    <w:rsid w:val="00D249EF"/>
    <w:rsid w:val="00D25CFE"/>
    <w:rsid w:val="00D27BC6"/>
    <w:rsid w:val="00D4607F"/>
    <w:rsid w:val="00D51F43"/>
    <w:rsid w:val="00D52D9C"/>
    <w:rsid w:val="00D540BE"/>
    <w:rsid w:val="00D57025"/>
    <w:rsid w:val="00D57765"/>
    <w:rsid w:val="00D61D9C"/>
    <w:rsid w:val="00D633FB"/>
    <w:rsid w:val="00D77B49"/>
    <w:rsid w:val="00D77F50"/>
    <w:rsid w:val="00D859F4"/>
    <w:rsid w:val="00D85A52"/>
    <w:rsid w:val="00D86FEC"/>
    <w:rsid w:val="00D90CCF"/>
    <w:rsid w:val="00D920B0"/>
    <w:rsid w:val="00DA34DF"/>
    <w:rsid w:val="00DA45AA"/>
    <w:rsid w:val="00DA4EA6"/>
    <w:rsid w:val="00DA59C5"/>
    <w:rsid w:val="00DA6A6E"/>
    <w:rsid w:val="00DA75CA"/>
    <w:rsid w:val="00DB69FD"/>
    <w:rsid w:val="00DB7734"/>
    <w:rsid w:val="00DC0A8A"/>
    <w:rsid w:val="00DC1705"/>
    <w:rsid w:val="00DC379A"/>
    <w:rsid w:val="00DC39A9"/>
    <w:rsid w:val="00DC4C79"/>
    <w:rsid w:val="00DC7637"/>
    <w:rsid w:val="00DE5D7F"/>
    <w:rsid w:val="00DE6249"/>
    <w:rsid w:val="00DE731D"/>
    <w:rsid w:val="00DF2A75"/>
    <w:rsid w:val="00DF5C7F"/>
    <w:rsid w:val="00DF62A5"/>
    <w:rsid w:val="00E0076D"/>
    <w:rsid w:val="00E07FBA"/>
    <w:rsid w:val="00E11B44"/>
    <w:rsid w:val="00E12630"/>
    <w:rsid w:val="00E12E2A"/>
    <w:rsid w:val="00E15DEB"/>
    <w:rsid w:val="00E1688D"/>
    <w:rsid w:val="00E203EB"/>
    <w:rsid w:val="00E211BA"/>
    <w:rsid w:val="00E30877"/>
    <w:rsid w:val="00E32243"/>
    <w:rsid w:val="00E35401"/>
    <w:rsid w:val="00E375DB"/>
    <w:rsid w:val="00E4111A"/>
    <w:rsid w:val="00E42938"/>
    <w:rsid w:val="00E46005"/>
    <w:rsid w:val="00E470ED"/>
    <w:rsid w:val="00E472EC"/>
    <w:rsid w:val="00E47508"/>
    <w:rsid w:val="00E53AB2"/>
    <w:rsid w:val="00E55EB0"/>
    <w:rsid w:val="00E577E3"/>
    <w:rsid w:val="00E57BB7"/>
    <w:rsid w:val="00E61CB0"/>
    <w:rsid w:val="00E62314"/>
    <w:rsid w:val="00E71256"/>
    <w:rsid w:val="00E719DC"/>
    <w:rsid w:val="00E71BCF"/>
    <w:rsid w:val="00E7545A"/>
    <w:rsid w:val="00E81D7C"/>
    <w:rsid w:val="00E83FA4"/>
    <w:rsid w:val="00E86020"/>
    <w:rsid w:val="00E8773C"/>
    <w:rsid w:val="00E87CFD"/>
    <w:rsid w:val="00E91026"/>
    <w:rsid w:val="00E95012"/>
    <w:rsid w:val="00EA0B4F"/>
    <w:rsid w:val="00EA2ECE"/>
    <w:rsid w:val="00EC2AFC"/>
    <w:rsid w:val="00EC2B4E"/>
    <w:rsid w:val="00EC2CF3"/>
    <w:rsid w:val="00EC793B"/>
    <w:rsid w:val="00ED0D9B"/>
    <w:rsid w:val="00ED7995"/>
    <w:rsid w:val="00EE1571"/>
    <w:rsid w:val="00EE6508"/>
    <w:rsid w:val="00EE7831"/>
    <w:rsid w:val="00EF0092"/>
    <w:rsid w:val="00EF5BD4"/>
    <w:rsid w:val="00EF62D9"/>
    <w:rsid w:val="00F00E4A"/>
    <w:rsid w:val="00F01CD5"/>
    <w:rsid w:val="00F10351"/>
    <w:rsid w:val="00F1063D"/>
    <w:rsid w:val="00F138F7"/>
    <w:rsid w:val="00F140EB"/>
    <w:rsid w:val="00F14355"/>
    <w:rsid w:val="00F15716"/>
    <w:rsid w:val="00F16257"/>
    <w:rsid w:val="00F17949"/>
    <w:rsid w:val="00F2003F"/>
    <w:rsid w:val="00F2008A"/>
    <w:rsid w:val="00F21D9E"/>
    <w:rsid w:val="00F25348"/>
    <w:rsid w:val="00F25E17"/>
    <w:rsid w:val="00F4028D"/>
    <w:rsid w:val="00F4082C"/>
    <w:rsid w:val="00F45506"/>
    <w:rsid w:val="00F45817"/>
    <w:rsid w:val="00F46F7D"/>
    <w:rsid w:val="00F47485"/>
    <w:rsid w:val="00F60062"/>
    <w:rsid w:val="00F613CC"/>
    <w:rsid w:val="00F61FA8"/>
    <w:rsid w:val="00F76777"/>
    <w:rsid w:val="00F77004"/>
    <w:rsid w:val="00F83F2F"/>
    <w:rsid w:val="00F86555"/>
    <w:rsid w:val="00F947C9"/>
    <w:rsid w:val="00FA2E1E"/>
    <w:rsid w:val="00FA4627"/>
    <w:rsid w:val="00FA4D97"/>
    <w:rsid w:val="00FA66F7"/>
    <w:rsid w:val="00FA698A"/>
    <w:rsid w:val="00FB2EF4"/>
    <w:rsid w:val="00FB3ED3"/>
    <w:rsid w:val="00FC3B03"/>
    <w:rsid w:val="00FD4466"/>
    <w:rsid w:val="00FD59A5"/>
    <w:rsid w:val="00FD6677"/>
    <w:rsid w:val="00FD72F7"/>
    <w:rsid w:val="00FE2BB3"/>
    <w:rsid w:val="00FF03A2"/>
    <w:rsid w:val="00FF22C4"/>
    <w:rsid w:val="00FF413D"/>
    <w:rsid w:val="00FF47C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8D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icja.humanicka@gum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ata.kerner@gu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AD80670BA76047B18E2B3ACF4D73B1" ma:contentTypeVersion="12" ma:contentTypeDescription="Utwórz nowy dokument." ma:contentTypeScope="" ma:versionID="0073395a704f34bd77cae0bfdf1d86bd">
  <xsd:schema xmlns:xsd="http://www.w3.org/2001/XMLSchema" xmlns:xs="http://www.w3.org/2001/XMLSchema" xmlns:p="http://schemas.microsoft.com/office/2006/metadata/properties" xmlns:ns2="16a7b07d-7760-4658-a246-42c323d163a8" xmlns:ns3="bdd97134-1e8d-4084-90fd-9b95580b5c63" targetNamespace="http://schemas.microsoft.com/office/2006/metadata/properties" ma:root="true" ma:fieldsID="b10bb72e6974abdb7c0f76f0213614aa" ns2:_="" ns3:_="">
    <xsd:import namespace="16a7b07d-7760-4658-a246-42c323d163a8"/>
    <xsd:import namespace="bdd97134-1e8d-4084-90fd-9b95580b5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7b07d-7760-4658-a246-42c323d16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97134-1e8d-4084-90fd-9b95580b5c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138B4-FE6B-41F1-8693-55D98FFA6F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F81BD-2FF8-4101-96A4-AEA0D439B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5D2719-48D1-4814-ABDF-DAE664A73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7b07d-7760-4658-a246-42c323d163a8"/>
    <ds:schemaRef ds:uri="bdd97134-1e8d-4084-90fd-9b95580b5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60904F-6032-4D6C-BCA5-B6963B7CB3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2022-04-15T08:28:00Z</dcterms:created>
  <dcterms:modified xsi:type="dcterms:W3CDTF">2022-04-15T08:29:00Z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0x01010042AD80670BA76047B18E2B3ACF4D73B1</vt:lpwstr>
  </property>
</Properties>
</file>